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8192" behindDoc="1" locked="0" layoutInCell="1" allowOverlap="1">
                <wp:simplePos x="0" y="0"/>
                <wp:positionH relativeFrom="column">
                  <wp:posOffset>-595290</wp:posOffset>
                </wp:positionH>
                <wp:positionV relativeFrom="paragraph">
                  <wp:posOffset>-525329</wp:posOffset>
                </wp:positionV>
                <wp:extent cx="7315200" cy="10345025"/>
                <wp:effectExtent l="0" t="0" r="0" b="0"/>
                <wp:wrapNone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75749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7315200" cy="10345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8192;o:allowoverlap:true;o:allowincell:true;mso-position-horizontal-relative:text;margin-left:-46.9pt;mso-position-horizontal:absolute;mso-position-vertical-relative:text;margin-top:-41.4pt;mso-position-vertical:absolute;width:576.0pt;height:814.6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СОДЕРЖАНИЕ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10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8164"/>
        <w:gridCol w:w="671"/>
      </w:tblGrid>
      <w:tr>
        <w:trPr>
          <w:trHeight w:val="303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Общие положения…………………………………………………...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Представители сторон, заключивших тарифное соглашение……...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55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Предмет тарифного соглашения……………………………………..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Нормативные документы…………………………………………….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</w:tr>
      <w:tr>
        <w:trPr>
          <w:trHeight w:val="35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Основные понятия и определения…………………………………...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Способы оплаты медицинской помощи………………………….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Общие положения…………………………………………………….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медицинской помощи, оказанной в амбулаторных условиях……………………………………………………………….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амбулаторной медицинской помощи…………….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показателей результативности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2.2.1.2.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2.2.1.3.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2.2.1.4.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2.2.1.5.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2.2.1.6.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2.2.1.7.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2.2.1.8.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2.2.1.9.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2.2.1.10.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2.2.1.11.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2.2.1.12.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2.2.1.13.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2.2.1.14.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2.2.1.15.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2.2.1.16.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медицинской помощи (медицинских услуг), оказанной в поликлиниках МО (структурных подразделениях МО), не имеющих прикрепившихся лиц …………….……………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отдельных диагностических (лабораторных) исследований (компьютерной томографии, ма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гнитно-резонансной томографии, ультразвукового исследования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(COVID-19))……………………………………………….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финансирования фельдшерских, и фельдшерско-акушерских пунктов…………………………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медицинской помощи, оказанной в центрах здоровья………………………………………………………………..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медицинских услуг по проведению диспансеризации определенных гру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пп взр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ослого населения……..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профилактических медицинских осмо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тров……...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 медицинских услуг по проведению углубленной диспансеризации граждан, переболевших новой коронавирусной инфекцией (covid-19)…………………………………………………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диспансеризации пребывающих в стационарных учреждениях детей-сирот и дет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ей, находящихся в трудной жизненной ситуации………………………………………………….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семью…………………………………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профилактических медицинских осмотров несовершеннолетних…………………………………………………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диализа в амбулаторных условиях……………………….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 позитронной эмиссионной томографии, совмещенной с компьютерной томографией…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 медицинской реабилитации в амбулаторных условиях………………………………………………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диспансерного наблюдения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за проведение школы сахарного диабета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33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медицинской помощи, оказанной в круглосуточных стационарах………………………………………...………………...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2.3.1.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медицинской помощи, оказанной в круглосуточных стационарах 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34</w:t>
            </w:r>
            <w:r>
              <w:rPr>
                <w:highlight w:val="white"/>
              </w:rPr>
            </w:r>
            <w:r/>
          </w:p>
        </w:tc>
      </w:tr>
      <w:tr>
        <w:trPr>
          <w:trHeight w:val="473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медицинской помощи, оказанной в дневных  стационарах……………………………………………………………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медицинской помощи, оказанной в дневных стационарах……………………………………………………………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Оплата скорой медицинской помощи………………………...……..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2.5.1.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медицинских услуг скорой медицинской помощи………………………………………………………………..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Тарифы на оплату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амбулаторной медицинской помощи………….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среднего подушевого норматива финансирования в амбулаторных условиях 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ind w:right="-108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базового подушевого норматива финансирования медицинских организаций……………………………………………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Половозрастные коэффициенты дифференциации подушевого норматива для медицинских организаций 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чень показателей результативности деятельности медицинских организаций, применяемых при осуществлении выплат медицинским организациям, имеющим прикрепившихся лиц, критерии их оценки, размер и порядок осуществления выплат за их выполнение……………………………………………..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единиц объема медицинской помощи…………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посещений, обращений………………………….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по стоматологии……………………………………………..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отдельные медицинские услуги………………………...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3.1.5.3.1.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отдельные медицинские услуги, применяемые при оплате амбулаторной медицинской помощи, в том числе для проведения межучрежденческих расчетов  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по проведению диспансеризации определенных гру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пп взр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ослого населения 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по проведению углубленной диспансеризации определенных гру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пп взр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ослого населения гражданам, переболевшим новой коронавирусной инфекцией (COVID-19)……………………………………………………………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семью….………   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3.1.5.3.7.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медицинские услуги по проведению профилактических медицинских осмотров несовершеннолетним  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3.1.5.3.8.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 медицинские услуги по проведению профилактических медицинских осмотров…………………………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3.1.5.3.9.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 медицинские услуги, оказываемые в центрах здоровья ………………………………………………………………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Базовые нормативы финансовых затрат на финансовое обеспечение структурных подразделений медицинских организаций …………………………………………………………..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медицинской помощи, оказанной в круглосуточных стационарах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……………………..…..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Средний размер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финансового обеспечения стационарной медицинской помощи,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ОМС………………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клинико-статистических групп (КСГ) с указанием коэффициентов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относительной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затратоемкости КСГ………………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средней стоимости законченного случая лечения, включенного в КСГ…………………………………………………...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Поправочные коэффициенты оплаты КСГ………………………….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подуровня оказания медицинской помощи в круглосуточных стационарах………………………………………...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сложности лечения пациента (КСЛП) в круглосуточном стационаре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специфики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Коэффициент приведения среднего норматива финансовых затрат на 1 случай лечения в круглосуточном стационаре к базовой ставке…………………………………………………………………..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Расчет стоимости 1 случая лечения заболевания в круглосуточном стационаре………………………………………….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законченных случаев лечения заболеваний в стационарных условиях с применением методов высокотехнологичной медицинской помощи ………………….......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3.2.7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 1 услуги по проведению гемодиализа ……………….……...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3.2.8.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прерванных случаев оказания медицинской помощи………………………………………………………………...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медицинской помощи, оказанной в дневных стационарах ………………………………….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Средний размер фи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нансового обеспечения медицинской помощи по дневным стационарам, определенный на основе нормативов объемов медицинской помощи и финансовых затрат на единицу объема медицинской помощи в дневных стационарах, установленных Территориальной программой ОМС………………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клинико-статистических групп (КСГ) с указанием коэффициентов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относительной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затратоемкости КСГ………………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средней стоимости законченного случая лечения, включенного в КСГ…………………………………………………...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Поправочные коэффициенты оплаты КСГ………………………….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подуровня оказания медицинской помощи в дневных стационарах…………………………………………………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79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специфики…………………………………………...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3.3.4.3.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Коэффициент приведения среднего норматива финансовых затрат на 1 случай лечения в дневном стационаре к базовой ставке……..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3.3.4.4.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Коэффициенты сложности лечения пациента (КСЛП) в дневном стационаре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Расчет стоимости 1 случая лечения в дневном стационаре……….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оплаты прерванных случаев оказания медицинской помощи………………………………………………………………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84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оплату скорой медицинской помощи 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>
          <w:trHeight w:val="559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</w:t>
            </w: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среднего подушевого норматива финансирования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скорой медицинской помощи 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>
          <w:trHeight w:val="619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vAlign w:val="center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Размер базового подушевого норматива финансирования скорой медицинской помощи ………………………………………………..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3.4.3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Половозрастные коэффициенты дифференциации подушевого норматива финансирования скорой медицинской помощи………..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Тарифы на вызов скорой медицинской помощи………………….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Размер неоплаты или неполной оплаты затрат на ока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зание медицинской помощи в рамках территориальной программы обязательного медицинского страхования, а также уплаты медицинской организацией штрафов за неоказание, несвоевременное оказание либо оказание медицинской помощи ненадлежащего качества…………………………………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91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22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5.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Заключительные положения………………………………………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5.1.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Срок действия Тарифного соглашения……………………………...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5.2.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Порядок изменения Тарифного соглашения……………………......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1"/>
        </w:trPr>
        <w:tc>
          <w:tcPr>
            <w:tcW w:w="133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5.3.-5.6.</w:t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Прочие положения……………………………………………………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40"/>
        </w:trPr>
        <w:tc>
          <w:tcPr>
            <w:tcW w:w="133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816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приложений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………………………………………………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tcW w:w="67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108</w:t>
            </w:r>
            <w:r>
              <w:rPr>
                <w:highlight w:val="white"/>
              </w:rPr>
            </w:r>
            <w:r/>
          </w:p>
        </w:tc>
      </w:tr>
    </w:tbl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720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numPr>
          <w:ilvl w:val="0"/>
          <w:numId w:val="2"/>
        </w:num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Общие положения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0"/>
        <w:numPr>
          <w:ilvl w:val="1"/>
          <w:numId w:val="6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Представители сторон, заключивших Тарифное соглашение</w:t>
      </w:r>
      <w:r>
        <w:rPr>
          <w:highlight w:val="white"/>
        </w:rPr>
      </w:r>
      <w:r/>
    </w:p>
    <w:p>
      <w:pPr>
        <w:ind w:left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Управление здравоохранения Липецкой области в лице начальника управления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Шуршукова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Юрия Юрьевича, действующего на основании Положения, именуемое в дальнейшем «Управление»,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Территориальный фонд обязательного медицинского страхования Липецкой области в лице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заместителя директора – начальника финансово-экономического управления фонда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Перфиловой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Ольги Васильевны, действующей на основании Положения, именуемый в дальнейшем «ТФОМС Липецкой области»,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Страховые медицинские организации  в лице директора Липецкого ф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илиала АО «Страховая компании «СОГАЗ-Мед»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Неугодова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Александра Сергеевича, действующего на основании доверенности, именуемые в дальнейшем «Страховщики»,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Липецкая областная общественная организация «Ассоциация медицинских работников» в лице председателя асс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оциации Шинкарева Сергея Алексеевича, действующего на основании Устава,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Липецкая областная организация профсоюза работников здравоохранения РФ в лице председателя Зубовой Натальи Юрьевны, действующей на основании Устава, именуемая в дальнейшем «Профсоюз»,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далее все вместе именуемые «Стороны» в соответствии со статьей 30 Федерального закона от 29.11.2010 № 326-ФЗ «Об обязательном медицинском страховании в Российской Федерации», Правилами обязательного медицинского страхования, утвержденными приказом Министе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рства здравоохранения Российской Федерации от 28.02.2019 № 108н, приказом Министерства здравоохранения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«Об утверждении Требований к структуре и содержанию тарифного соглашения» заключили настоящее Тарифное соглаше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 на оплату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обязательному медицинскому страхованию на территории Липецкой области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 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 (далее – Тарифное соглашение) о нижеследующем.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1.2.  Предмет Тарифного соглашения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Тарифное соглашение устанавливает способы оплаты медицинской помощи, применяемые в системе обязательного медицинского страхования на территории Липецкой области, размер и структуру тарифов на оплату медицинской помощи, размер неоплаты или неполной оплаты 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</w:t>
      </w:r>
      <w:r>
        <w:rPr>
          <w:rFonts w:ascii="Times New Roman" w:hAnsi="Times New Roman" w:cs="Times New Roman" w:eastAsia="Times New Roman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взаимодействия участников обязательного медицинского страхования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территории Липецкой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области при оплате медицинской помощи.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Тарифное соглашение устанавливает общие методические принципы оплаты медицинской помощи (медицинских услуг) в рамках Территориальной программы обязательного медицинского страхования Липецкой обл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асти.</w:t>
      </w:r>
      <w:r>
        <w:rPr>
          <w:highlight w:val="white"/>
        </w:rPr>
      </w:r>
      <w:r/>
    </w:p>
    <w:p>
      <w:pPr>
        <w:ind w:firstLine="709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Действие Тарифного соглашения распространяется на медицинские организации, функционирующие в системе обязательного медицинского страхования, в соответствии с Программой государственных гарантий бесплатного оказания гражданам на территории Липецкой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ласти бесплатной медицинской помощи на 2023 год и на плановый период 2024 и 2025 годов.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1.3.  Нормативные документы</w:t>
      </w:r>
      <w:r>
        <w:rPr>
          <w:highlight w:val="white"/>
        </w:rPr>
      </w:r>
      <w:r/>
    </w:p>
    <w:p>
      <w:pPr>
        <w:ind w:firstLine="7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Тарифное соглашение разработано на основании: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Федерального закона от 21.11.2011 № 323-ФЗ «Об основах охраны здоровья граждан в Российской Федерации» (с изменениями на 28.12.2022);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Федерального закона от 29.11.2010 № 326-ФЗ «Об обязательном медицинском страховании в Российской Федерации» (далее – Ф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едеральный закон) (с изменениями на 19.12.2022);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Федерального закона от 27.07.2006 № 152-ФЗ «О персональных данных» (с изменениями на 14.07.2022);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Постановления Правительства Российской Федерации от 29.12.2022 №  2497 «О Программе государственных гаран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тий бесплатного оказания гражданам медицинской помощи на 2023 год и на плановый период 2024 и 2025 годов»;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Постановления Правительства РФ от 05.11.2022 № 1998 «Об утвержден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ии Правил ведения персонифицированного учета в сфере обязательного медицинского страхования»;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Приказа Министерства здравоохранения Российской Федерации от 28.02.2019 № 108н «Об утверждении Правил обязательного медицинского страхования» (с изменениями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13.12.2022) (далее – Правила 108н);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Приказа Министерства здравоохранения Российской Федерации от 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«Об утверждении Требований к структуре и содержанию тарифного соглашения»;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Приказа Министерства здравоохра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нения Российской Федерации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 же ее финансового обеспе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чения»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(с изменениями на 21.02.2022);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Постановления Правительства Липецкой области от 30.12.2022 № 380 «Об утверждении Программы государственных гарантий бесплатного оказания гражданам на территории Липецкой области медицинской помощи на 2023 год и на плановый период 2024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2025 годов»;</w:t>
      </w:r>
      <w:r>
        <w:rPr>
          <w:highlight w:val="white"/>
        </w:rPr>
      </w:r>
      <w:r/>
    </w:p>
    <w:p>
      <w:pPr>
        <w:ind w:right="20" w:firstLine="708"/>
        <w:jc w:val="both"/>
        <w:rPr>
          <w:rFonts w:ascii="arimo" w:hAnsi="arimo" w:cs="arimo" w:eastAsia="arimo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Методических рекомендаций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ого страхования».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1.4.  Основные понятия и определения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рамках настоящего Тарифного соглашения используются следующие основные понятия и их определения: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целей реализации настоящих рекомендаций устанавливаются следующие основные понятия и термины.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ОМС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обязательное медицинское страхование;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36"/>
          <w:szCs w:val="3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СМО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(страховая медицинская организация) - страховая организация, имеющая лицензию, выданную федеральным органом исполнительной власти, осуществляющим функции по контролю и надзору в сфере страховой деятельности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включенная в реестр страховых медицинских организаций, осуществляющих деятельность в сфере обязательного медицинского страхования на территории Липецкой области</w:t>
      </w:r>
      <w:r>
        <w:rPr>
          <w:rFonts w:ascii="Times New Roman" w:hAnsi="Times New Roman" w:cs="Times New Roman" w:eastAsia="Times New Roman"/>
          <w:sz w:val="32"/>
          <w:szCs w:val="32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МО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(медицинская организация)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13" w:tooltip="about:blank" w:history="1">
        <w:r>
          <w:rPr>
            <w:rFonts w:ascii="Times New Roman" w:hAnsi="Times New Roman" w:cs="Times New Roman" w:eastAsia="Times New Roman"/>
            <w:sz w:val="28"/>
            <w:szCs w:val="28"/>
            <w:highlight w:val="white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Российской Федерации и включенная в реестр медицинских организаций, осуществляющих деятельность в системе обязательного медицинского страхования Липецкой области;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Тариф на медицинскую услугу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– денежная сумма,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определяющая уровень возмещения и состав компенсируемых расходов медицинской организации, связанных с оказанием медицинской помощи в рамках Территориальной программы обязательного медицинского страхования;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Условная единица трудоемкости (УЕТ)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– норматив вре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мени, затрачиваемого при оказании стоматологической медицинской помощи на выполнение объема работы врача на терапевтическом, хирургическом приеме,  необходимого для лечения среднего кариеса (I класс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Блеку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Случай госпитализации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случай лечения в стаци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территориальной программы обязательного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нского страхования;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Клинико-статистическая группа заболеваний (КСГ)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 и набор используемых ресурсов);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Базовая ставка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ъема медицинской помощи, установленных Программой государственных гарантий бесплатного оказания гражданам на территории Липецкой области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и на плановый период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2024 и 2025 годов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(средняя стоимость законченного случая лечения);</w:t>
      </w:r>
      <w:r>
        <w:rPr>
          <w:highlight w:val="white"/>
        </w:rPr>
      </w:r>
      <w:r/>
    </w:p>
    <w:p>
      <w:pPr>
        <w:ind w:firstLine="709"/>
        <w:jc w:val="both"/>
        <w:tabs>
          <w:tab w:val="left" w:pos="180" w:leader="none"/>
          <w:tab w:val="left" w:pos="360" w:leader="none"/>
          <w:tab w:val="left" w:pos="720" w:leader="none"/>
          <w:tab w:val="left" w:pos="108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относительной затратоемкости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устанавливаемый рекомендациями Минздрава РФ и ФФОМС коэффициент затратоемкости клинико-статистической группы заболеваний, отражающий отношение ее затратоемкости к среднему объему финансового обеспечения медицинско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помощи в расчете на одного пролеченного пациента (базовой ставке);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sz w:val="28"/>
          <w:highlight w:val="white"/>
        </w:rPr>
        <w:t xml:space="preserve">Коэффициент специфики</w:t>
      </w:r>
      <w:r>
        <w:rPr>
          <w:rFonts w:ascii="Times New Roman" w:hAnsi="Times New Roman" w:cs="Times New Roman"/>
          <w:sz w:val="28"/>
          <w:highlight w:val="white"/>
        </w:rPr>
        <w:t xml:space="preserve"> – 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</w:t>
      </w:r>
      <w:r>
        <w:rPr>
          <w:rFonts w:ascii="Times New Roman" w:hAnsi="Times New Roman" w:cs="Times New Roman"/>
          <w:sz w:val="28"/>
          <w:highlight w:val="white"/>
        </w:rPr>
        <w:t xml:space="preserve">и (или) учета региональных особенностей оказания медицинской помощи по конкретной клинико-статистической группе заболеваний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уровня оказания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устанавливаемый на территориальном уровне коэффициент, позволяющий учесть различия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размерах расходов в зависимости от уровня оказания медицинской помощи;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подуровня оказания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устанавливаемый на территориальном уровне коэффициент, позволяющий учесть различия в размерах расходов медицинских организаций, от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носящихся к одному уровню оказания медицинской помощи, обусловленный объективными причинами;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Коэффициент сложности лечения пациентов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устанавливаемый на федеральном уровне коэффициент, применяемый в отдельных случаях в связи со сложностью лечения пациента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и учитывающий более высокий уровень затрат на оказание медицинской помощи.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 Способы оплаты медицинской помощи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2.1. Общие положения</w:t>
      </w:r>
      <w:r>
        <w:rPr>
          <w:highlight w:val="white"/>
        </w:rPr>
      </w:r>
      <w:r/>
    </w:p>
    <w:p>
      <w:pPr>
        <w:ind w:firstLine="7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оплаты медицинской помощи в системе обязательного медицинского страхования на территории Липецкой области установлены «Программой государственных гарантий бесплатного оказания гражданам на территории Липецкой области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на плановый период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2024 и 2025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годов».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(медицинских услуг), оказанных МО, производится СМО и ТФОМС Липецкой области, в порядке, предусмотренном договорами на оказание и оплату медицинской помощи по обязательному медицинском стра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хованию, разработанными в соответствии с Типовым договором на оказание и оплату медицинской помощи по обязательному медицинском страхованию, утвержденным приказом Министерства здравоохранения Российской Фед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ерации от 30.12.2020 № 1417н.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омощи осуществляется в соответствии с предъявленными МО счетами и реестрами счетов за оказанные медицинские услуги, по тарифам, действующим в системе ОМС на территории Липецкой области на дату окончания оказания медицинской помощи.</w:t>
      </w:r>
      <w:r>
        <w:rPr>
          <w:highlight w:val="white"/>
        </w:rPr>
      </w:r>
      <w:r/>
    </w:p>
    <w:p>
      <w:pPr>
        <w:ind w:right="-58" w:firstLine="708"/>
        <w:jc w:val="both"/>
        <w:spacing w:after="360"/>
        <w:rPr>
          <w:rFonts w:ascii="Times New Roman" w:hAnsi="Times New Roman" w:cs="Times New Roman" w:eastAsia="Times New Roman"/>
          <w:color w:val="C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После осуществления оплаты медицинской помощи СМО доводят до сведения каждой МО в письменной форме информацию о сумме окончательного финансирования в разрезе видов медицинской помощи и способов оплаты в сроки согласованные между СМО и МО.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Показатель объем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медицинской помощи, предоставляемой в круглосуточном стационаре (в том числе для медицинской реабилитации) выражается в количестве случаев госпитализации  в расчете на 1 пациента в год, в поликлинике - в количестве  посещений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(комплексных посещений)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 пр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офилактическими и иными целями, посещений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неотложной форме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обращений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связи с заболеваниями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 количестве услуг в расчете на 1 человека в год, в дневных стационарах всех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типов (в том числе для медицинской реабилитации) - в количестве случаев лечения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учаев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скорой медицинской помощи - в количестве вызовов в расчете на 1 человека в год.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Объем медицинской помощи определяется в соответствии с территориальной программой ОМС. Объемы и финансовое обеспечение медицинской помощи для каждой МО в расчете на 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 устанавливаются Комиссией по разработке территориальной программы обязательного медицинского страхования.</w:t>
      </w:r>
      <w:r>
        <w:rPr>
          <w:highlight w:val="white"/>
        </w:rPr>
      </w:r>
      <w:r/>
    </w:p>
    <w:p>
      <w:pPr>
        <w:ind w:firstLine="45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СМО и ТФОМС Липецкой области, осуществляя оплату медицинской помощи, вправе, по результатам проведенного контроля объемов и качества медицинской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мощи, частично или полностью не возмещать затраты МО за оказанную медицинскую помощь (медицинские услуги) путем удержания суммы, не подлежащей оплате, с последующего счета МО, а также применить к МО штрафные санкции.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и формы оплаты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не предусмотренные настоящим Тарифным соглашением, в системе ОМС на территории Липецкой области,  не применяются.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Структура тарифа на оплату медицинской помощи включает в себя расходы на заработную плату, начисления на оплату труда,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отсутствии организованного питания в медицинской организации), расходы на оплату услуг связи, транспо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100 тыс. рублей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 единицу, а также допускается приобретение основных средств (медицинских издел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медицинской организации, не погашенной в течение 3 месяцев кредиторской задолженности за счет средств обяза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тельного медицинского страхования.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Тарифы предусматривают компенсацию расходов по обеспечению деятельности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медицинской организации в части, относящейся к деятельности по ОМС. В тарифы не включаются расходы медицинской организации, которые в соответствии с территориальной  программой ОМС финансируются за счет средств бюджетов всех уровней или других источников.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Контроль использования средств ОМС СМО и МО осуществляется ТФОМС Липецкой области в соответствии с Федеральным законом РФ от 29.11.2010 № 326-ФЗ «Об обязательном медицинском страховании в Российской Федерации», в том числе путем проведения проверок.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Использование средств обязательного медицинского страхования медицинскими организациями на финансирование мероприятий, видов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едицинской помощи, не включенных в территориальную программу обязательного медицинского страхования, на оплату видов расходов, не включенных в состав  тарифа на оплату медицинской помощи в системе обязательного медицинского страхования, является нецелевым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использованием средств ОМС, в том числе: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завышения численности застрахованных лиц;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завышения тарифов медицинской помощи в рамках территориальной программы ОМС;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включения в реестр счетов и счета на оплату медицинской помощи медицинских услуг, подлежащих оплате за счет иных источников;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в результате необоснованно запрошенных дополнительных сумм финансирования;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видов медицинской помощи, не включенных в территориальную программу ОМС;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расходов, не включенных в тарифы на оплату медицинской помощи в рамках территориальной программы ОМС;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финансирование структурных подразделений (служб) МО, финансируемых из иных источников;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расходование сре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дств св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ерх норм, установленных соответствующими министерствами, ведомствами;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расходование сре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дств пр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и отсутствии подтверждающих документов;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собственных обязательств (долгов), не связанных с деятельностью по обязательному медицинскому страхованию;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- оплата средств на иные цели, не соответствующие условиям их предоставления.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В случае установления ТФОМС факта нецелевого  использования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редств ОМС, возврат средств, использованных не по целевому назначению, уплата  штрафа и пени производится медицинской организацией в  соответствии с требованиями части 9 статьи 39 Федерального закона от 29.11.2010 № 326-ФЗ в бюджет ТФОМС Липецкой области.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Расходы МО, связанные с возмещением средств,  использованных не по целевому назначению,  оплата штрафа и пени за счет средств  ОМС не  осуществляются.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Самостоятельный возврат СМО или МО до проведения проверки суммы нецелевого использования средств обязательного медицинского страхования, не освобождает ее от уплаты штрафа. Пени в этом случае не начисляются.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Распределение затрат, необходимых для обеспечения деятельности медицинской организации в целом,  необходимо распределять между всеми источниками,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формирующими доход учреждения от оказания медицинских услуг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в соответствии с п. 208 раздела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val="en-US" w:eastAsia="ru-RU"/>
        </w:rPr>
        <w:t xml:space="preserve">XII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 Правил 108н, и иным действующим законодательством.</w:t>
      </w:r>
      <w:r>
        <w:rPr>
          <w:highlight w:val="white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Эффективным использованием средс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ru-RU"/>
        </w:rPr>
        <w:t xml:space="preserve">тв ОМС является такое их использование медицинскими организациями, которое  обеспечивает достижение заданных результатов с использованием наименьшего объема средств и (или) достижение наилучшего результата с использованием определенного объема средств ОМС.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оплату медицинской помощи по одним и тем же ее видам (одним и тем же медицинским услугам) являются едиными для всех медицинских орг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анизаций, включенных в один уровень оказания медицинской помощи, независимо от организационно-правовой формы.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Распределение медицинских организаций по уровням оказания медицинской помощи осуществляется Управлением здравоохранения Липецкой области. 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том числе денежные выплаты: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рактики (семейных врачей) за оказанную медицинскую помощь в амбулаторных условиях;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 числе медицинским сестрам патронажным) за оказанную медицинскую помощь в амбулаторных условиях;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ской организации;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врачам-специалистам за оказанную медицинскую помощь в амбулаторных условиях.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spacing w:after="360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 Оплата медицинской помощи в амбулаторных условиях</w:t>
      </w:r>
      <w:r>
        <w:rPr>
          <w:highlight w:val="white"/>
        </w:rPr>
      </w:r>
      <w:r/>
    </w:p>
    <w:p>
      <w:pPr>
        <w:ind w:firstLine="720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медицинской помощи в которых осуществляется по подушевому нормативу финансирования на прикрепившихся лиц (за исключением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выявление новой коронавирусной инфекции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COVID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-19),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осмотров и диспансер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организациях и оплачиваемую за единицу объема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разрезе групп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1 к Тарифному соглашению.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существляется за единицу объема медицинской помощи - за медицинскую услугу, за посещение, за обращение (законченный случай), за УЕТ в разрезе уровней оказания медицинской помощи представлен в приложении № 2 к Тарифному соглашению.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 Порядок оплаты ам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булаторной медицинской помощи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амбулаторных условиях 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следующие способы оплаты: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 подушевому норм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COVID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-19),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осмотров и диспансеризации, в том числе углубленной диспансеризации, а также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средств на оплату диспансерного наблюдения и финансовое обеспечение фельдшерских, фельдшерско-акушерских пунктов) с учетом показателей резу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ых медицинских организациях и оплачиваемую за единицу объема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 единицу объема медицинской помощи – за  медицинскую услугу, посещение, обращение (законченный случай) при оплате: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застрахованным лицам за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ределами субъекта Российской Федерации, на территории которого выдан полис обязательного медицинского страхования;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медицинских организациях, не имеющих прикрепившихся лиц;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медицинской организа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отдельных диагност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ических (лабораторных) исследований – компьютерной томографии, магнитно-резонансной томографии, ультразвукового исследования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системы, эндоскопических диагностических исследований, молекулярно-генетических исследований и патологоанатомич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(COVID-19);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отров и диспансеризации, в том числе углубленной диспансеризации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диспансерного наблюдения отдельных категорий граждан из числа взрослого населения;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 по медицинской реабилитации.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Кроме того, в целях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повышения эффективности расходования ср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едств 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оплата посещений школы сахарного диабета осуществляется за единицу объема медицинской помощи (комплексное посещение) вне подушевого норматива финансирования.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 по нормативу финансирования структурного подразде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ления медицинской организации при оплате медицинской помощи, оказываемой фельдшерскими и фельдшерско-акушерскими пунктами.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Для медицинских организаций, оказывающих амбулаторную медицинскую помощь, единицей объема является: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комплексное посещение для проведения профилактического медицинского осмотра, диспансеризации, в том числе углубленной диспансеризации, диспансерного наблюдения, медицинской реабилитации, школы сахарного диабета;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посещение с иными целями;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неотло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жной форме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обращение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связи с заболеванием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(законченный случай лечения);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условная единица трудоемкости (УЕТ) – для стоматологической медицинской помощи;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медицинская услуга.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тарифу посещения с иными целями оплачиваются: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для проведения 2 этап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диспансеризации; 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разовые посещения в связи с заболеваниями;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центров здоровья; 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медицинских работников, имеющих среднее медицинское образование, ведущих самостоятельный прием;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центров амбулаторной онкологической помощи;</w:t>
      </w:r>
      <w:r>
        <w:rPr>
          <w:highlight w:val="white"/>
        </w:rPr>
      </w:r>
      <w:r/>
    </w:p>
    <w:p>
      <w:pPr>
        <w:ind w:firstLine="709"/>
        <w:jc w:val="both"/>
        <w:spacing w:line="245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посещения в связи выдачей справок и иных медицинских документов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и другими причинами.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по  тарифу 1 посещения с иными целями по соответствующей врачебной специальности.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оказании медицинской помощи по посещениям с иными целями пац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иенту, прикрепленному к медицинской организации,  на оплату выставляются следующие дополнительные медицинские услуги: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маммографии;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флюорографии легких;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диализа, амбулаторного гемодиализа;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МРТ и КТ;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услуги, оказываемые в кабинетах охраны зрения;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вакцинация;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прием в доврачебном кабинете;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прием в смотровом кабинете;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кардиотокография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плода;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ультразвуковых исследований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системы;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эндоскопических диагностических исследований;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молекулярно-генетических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тестирования на выявление новой коронавирусной инфекции (COVID-19).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Другие дополнительные медицинские услуги из справочника отдельных медицинских услуг, кроме вышеперечисленных, при выполнении посещения с иными целями,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включению в реестр медицинской помощи, оказанной прикрепленному к медицинской организации населению, не подлежат.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с иными целями иног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ородним гражданам и гражданам, не прикрепленным  к медицинской организации,  выставляются на оплату для осуществления межтерриториальных и межучережденческих взаиморасчетов.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тарифу обращения в связи с заболеванием оплачиваются: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два и более  посещен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пациента к врачу поликлиники с лечебно-диагностической  целью,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два и более  посещений пациента на дому  участковым врачом (терапевтом, педиатром), ВОП или врачом-специалистом поликлиники с лечебно-диагностической  целью по поводу одного и того же  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болевания,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случай оказания медицинской помощи на дому с последующими посещениями пациента к врачу поликлиники по поводу одного и того же  заболевания,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два и более  посещений  пациента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врачу соответствующей специальности с консультативной  целью по поводу обследования при подозрении на  заболевание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 или для оценки динамики развития ранее установленного заболевания, 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два и более посещений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женскую консультацию при постановке на уче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 по наблюдению за развитием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беременности (цель лечебно-диагностическая).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Стоимость лечения в реестре должна быть равна стоимости 1 обращения по соответствующей специальности.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Расходы на проведение манипуляций, амбулаторных операций, дополнительных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нских услуг учтены в тарифе одного обращения по поводу заболевания и отдельно  на оплату не выставляются.  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оказании медицинской помощи по обращениям по поводу заболевания пациенту, прикрепленному к медицинской организации,  на оплату выставляются сле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дующие дополнительные медицинские услуги: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выставляются следующие медицинские услуги: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маммографии;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флюорографии легких;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а, амбулаторного гемодиализа;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МРТ и КТ;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для пульмонологического и ревматологического центров;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спелевоздействию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услуги, оказываемые в кабинетах охраны зрения;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дицинские услуги по проведению ультразвуковых исследований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системы;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эндоскопических диагностических исследований;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-медицинские услуги по проведению молекулярно-генетических исследований и патологоанатом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медицинские услуги по проведению тестирования на выявление новой коронавирусной инфекции (COVID-1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9).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Другие дополните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льные медицинские услуги из справочника отдельных медицинских услуг, кроме вышеперечисленных, при выполнении обращения по поводу заболевания,  включению в реестр медицинской помощи, оказанной прикрепленному к медицинской организации населению, не подлежат.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Дополнительные медицинские услуги, показанные и проведенные по направлению лечащего врача при оказании медицинской помощи по обращениям по поводу заболевания иногородним гражданам и гражданам,  не прикрепленным  к медицинской организации,  выставляются 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оплату для осуществления межтерриториальных и межучережденческих взаиморасчетов.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color w:val="C00000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тарифу посещения в неотложной форме оплачиваются: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одно  посещение  пациента на дому  врачом терапевтом участковым, врачом педиатром участковым или врачом общей практи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ки с лечебно-диагностической  целью,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 случаи оказания медицинской помощи  в травматологических пунктах,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случаи оказания медицинской помощи в приемном отделении стационарного звена медицинской организации без последующей госпитализации пациента,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ещение по неотложной помощи  врачом-специалистом на дому,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посещение / обращение к врачу поликлиники с  лечебно-диагностической  целью, завершившееся  госпитализацией  в стационар по экстренным показаниям.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Дополнительные медицинские услуги, проведенны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 направлению лечащего врача при оказании неотложной медицинской помощи, выставляются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Оплата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консультативных поликлиниках осуществляется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стоимости медицинских услуг.</w:t>
      </w:r>
      <w:r>
        <w:rPr>
          <w:highlight w:val="white"/>
        </w:rPr>
      </w:r>
      <w:r/>
    </w:p>
    <w:p>
      <w:pPr>
        <w:ind w:firstLine="720"/>
        <w:jc w:val="both"/>
        <w:spacing w:after="360"/>
        <w:rPr>
          <w:rFonts w:ascii="Times New Roman" w:hAnsi="Times New Roman" w:cs="Times New Roman" w:eastAsia="Times New Roman"/>
          <w:b/>
          <w:sz w:val="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spacing w:after="360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2.2.1.1.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Порядок оплаты  медицинской помощи (медицинских услуг), оказанной в медицинских организациях, имеющих прикрепившихся лиц, оплата медицинской помощи в которых осуществляется по подушевому нормативу финансирования на прикрепившихся лиц, с учетом пок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омощи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в медицинских организациях, имеющих прикрепившихся лиц осуществляется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 объема медицинской помощи), в том числе с включением расходов на медицинскую помощь, оказываемую в иных медицинских организациях оплачиваемую за единицу объема медицинской помощи.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Подушевой норматив включает в себя финансовые средства на оказание перви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чной медико-санитарной помощи и специализированной медицинской помощи в амбулаторных условиях, а также оплату медицинской помощи, оказанной застрахованному прикрепленному населению в других МО, участвующих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финансировании по видам медицинской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мощи, включенным в состав подушевых нормативов.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Подушевой норматив финансирования на прикрепившихся лиц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включает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расходы на оказание медицинской помощи с применением телемедицинских технологий,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так же расходы на проведение исследований на нал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ичие вирусов респираторных инфекций, включая вирус гриппа (любым из методов) в случаях,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Программой государственных гарантий бесплатного оказания гражданам на территории Липецкой области медицинской помощи на 2023 год и на плановый период 20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24 и 2025 годов»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включаются в расчет подушевых нормативов расходы на проведение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профилактических медицинских осмотров и диспансеризации, в том числе углубленной диспансеризации, диспансерного наблюдения отдельных категорий граждан из числа взрослого 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аселения, школы сахарного диабета,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реабилитации в амбулаторных условиях, расходы на оплату диализа в амбулаторных условиях, средства, направляемые на финансовое обеспечение фельдшерских, фельдшерско-акушерских пунктов в соответствии с установле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нными Программой государственных гарантий бесплатного оказания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гражданам на территории Липецкой области медицинской помощи размерами финансового обеспечения фельдшерских, фельдшерско-акушерских пунктов, средства, направляемые на оплату проведения отдельных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диагностических (лабораторных) исследований –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(COVID-19), на финансовое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обеспечени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медицинской помощи сверх базовой программы ОМС (при заболеваниях, передаваемых половым путем, туберкулезе,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профпатологии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психических расстройствах и расстройствах поведения, в том числе связанных с употреблением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психоактивных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веществ), расходы на финанс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ирование амбулаторной медицинской помощи в МО, не имеющих прикрепившихся лиц, расходы на медицинскую помощь, оказанную в круглосуточных стационарах, дневных стационарах, скорую медицинскую помощь. 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Прикрепление застрахованных граждан на медицинское обслуживание к медицинской организации осуществляется в соответствии с Приказом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Минздравсоцразвития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РФ от 26.04.2012 № 406н  «Об утверждении порядка выбора гражданином медицинской организации при оказании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ему медицинской помощи в рамках программы государственных гарантий бесплатного оказания гражданам медицинской помощи».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Информация о наименовании МО, к которой прикреплен гражданин, отражается в базе данных застрахованных.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Помимо медицинской помощи, оказ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ываемой прикрепленному населению, медицинская организация может оказывать медицинские услуги и населению, прикрепленному к другим медицинским организациям.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C00000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период наблюдения и лечения пациента в медицинской организации, к которой он прикреплен, лечащий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рач по показаниям может направить пациента на консультацию к врачу-специалисту другой медицинской организации. В этом случае лечащий врач оформляет направление по форме, утвержденной приказом Министерства здравоохранения и социального развития РФ от 22.11.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2004 № 255 «О порядке оказания первичной медико-санитарной помощи гражданам, имеющим право на получение набора социальных услуг». </w:t>
      </w:r>
      <w:r>
        <w:rPr>
          <w:highlight w:val="white"/>
        </w:rPr>
      </w:r>
      <w:r/>
    </w:p>
    <w:p>
      <w:pPr>
        <w:ind w:right="-86" w:firstLine="71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Ежемесячная сумма финансовых средств рассчитывается ТФОМС Липецкой области и доводится до сведения СМО.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финансового обеспечения по подушевому нормативу для каждой медицинской организации определяется исходя из численности прикрепившихся к ней лиц.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поликлиник по утверждённым  подушевым нормативам осуществляется СМО, в соответствии с зак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люченными с МО договорами, в следующем порядке: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осуществляется авансирование МО;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окончательный расчет производится ежемесячно путем оплаты предъявленного поликлиникой счета (с приложением реестра счета) за оказанные медицинские услуги отдельно прикрепл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енному и неприкрепленному населению к данной поликлинике, с учетом выданных авансов. СМО в свою очередь осуществляет расчеты за медицинскую помощь, оказанную прикрепленному населению, за вычетом средств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взаиморасчетам, в пределах разме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 финансового обеспечения по подушевому нормативу, с учетом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выполнения показателей результативности деятельности медицинских организаций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Счета за медицинские услуги, оказанные гражданам, неприкрепленным к данной поликлинике, оплачиваются СМО по тарифам,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определенным  для МО, оказавшей медицинскую помощь, из финансового обеспечения по подушевому нормативу тех поликлиник, к которым данные граждане прикреплены. В реестре счета за медицинские услуги, оказанные гражданам, неприкрепленным к данной медицинской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организации, отражается, в том числе информация о направлениях от врачей других медицинских организаций, а также наименование медицинской организации, к которой прикреплен пациент. Оплата счетов, за медицинские услуги, оказанные неприкрепленному населению,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осуществляется при наличии направления из поликлиники.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отсутствия направления, оплата осуществляется после рассмотрения на комиссии СМО по осуществлению межучрежденческих расчетов в условиях финансирования по подушевым нормативам на прикрепленное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застрахованное население в соответствии с Положением об экспертной комиссии, утвержденным приказом ТФОМС Липецкой области от 27.03.2009 №60, из финансового обеспечения по подушевому нормативу тех поликлиник, к которым данные граждане прикреплены, с учетом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мнения представителя МО, оказавшей медицинскую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помощь.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взаиморасчеты за медицинские услуги, оказанные неприкрепленному населению без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направления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лечащего врача, страховые медицинские организации  могут осуществлять в пределах размера фин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ансового обеспечения по подушевому нормативу без рассмотрения на комиссии, при условии согласия заинтересованных сторон. Оплата может производиться без запроса и экспертной оценки первичной медицинской документации, при условии согласия заинтересованных 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орон. Факт согласия сторон оформляется в форме Акта.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взаиморасчеты осуществляют СМО в следующем порядке: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первую очередь, определяется сумма уменьшения финансового обеспечения по подушевому нормативу каждой медицинской организации,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 оплаты медицинской помощи (по видам, включенным в состав подушевых нормативов), оказанной прикрепленному к ней населению в других МО,  что производится путем суммирования стоимости позиций реестров счетов других МО по пациентам, прикрепленным к данной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организации;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затем определяется сумма средств за медицинские услуги, оказанные в данной поликлинике населению, прикрепленному к другим поликлиникам, определяется по соответствующим счетам.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Контроль соответствия суммы выставленных на оплату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Сумма остатка финансового обеспечения по подушев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ому нормативу определяется СМО для каждой поликлиники следующим образом: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межучережденческих взаиморасчетов;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производится сопоставление суммы денежных средств по реестрам за медиц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инские услуги, оказанные населению, прикрепленному к поликлинике, с суммой средств, установленной в результате действий, указанных в предыдущем абзаце.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Оставшиеся финансовые средства от установленного дифференцированного подушевого норматива направляются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соответствующие медицинские организации. 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превышения стоимости медицинской помощи по реестрам прикреплен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ного  населения над размером остатка финансового обеспечения по подушевому нормативу,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страховая медицинская организация производит оплат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 счетов за оказанную медицинскую помощь медицинским организациям в пределах суммы финансового обеспечения по подушевому нормативу.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2.2.1.2. Порядок оплаты  медицинской помощи (медицинских услуг), оказанной в поликлиниках МО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(структурных подразделениях МО), не имеющих прикрепившихся лиц, оплата медицинской помощи в которых осуществляется за единицу объема медицинской помощи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помощи, оказанной в поликлиниках МО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(структурных подразделениях МО), не имеющих прикр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епившихся лиц осуществляется по утвержденной стоимости единиц объема медицинской помощи, стоимости соответствующих медицинских услуг.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Медицинская помощь, оказанная в данных медицинских организациях (структурных подразделениях) оплачивается СМО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включенных в сумму финансового обеспечения по подушевому нормативу.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риальной программы ОМС.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2.2.1.3. Порядок оплаты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сердечно-сосудистой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й терапии, тестирования на выявление новой коронавирусной инфекции (COVID-19))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за проведение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ственной терапии, тестирования на выявление новой коронавирусной инфекции (COVID-19)) осуществляется за единицу объема медицинской помощи - за медицинскую услугу, из средств, не включенных в сумму финансового обеспечения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подушевому нормативу.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Оплата 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уществляется по тарифам, установленным в соответствии с нормативами финансовых затрат на единицу объема.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осуществляется лечащим врачом, оказывающим первичную медико-сан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итарную помощь, в том числе первичную специализированную медико-санитарную помощь, при наличии медицинских показаний в установленные сроки.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Проведение исследований на наличие новой коронавирусной инфекции (COVID-19) методом полимеразной цепной реакции осущ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ествляется в случае: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наличия у застрахованных граждан новой 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ронавирусной инфекции (COVID-19), в том числе для оценки результатов проводимого лечения;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экспресс-теста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(при условии пер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едачи гражданином или уполномоченной на экспресс-тестирование организацией указанного теста медицинской организации).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осуществляется в пределах объемов, установленных Решением комиссии по разработке территориальной программы обяза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тельного медицинского страхования.</w:t>
      </w:r>
      <w:r>
        <w:rPr>
          <w:highlight w:val="white"/>
        </w:rPr>
      </w:r>
      <w:r/>
    </w:p>
    <w:p>
      <w:pPr>
        <w:ind w:left="644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2.2.1.4. Порядок финансирования фельдшерских, и фельдшерско-акушерских пунктов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финансового обеспечения фе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определяется в соответствии с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помощи на 2023 год и на плановый период 2024 и 2025 годов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», Поста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новлением администрации Липецкой области от 30.12.2022 № 380 «Об утверждении Программы государственных гарантий бесплатного оказания гражданам на территории Липецкой области медицинской помощи на 2023 год и на плановый период 2024 и 2025 годов».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Перечень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фельдшерских пунктов, фельдшерско-акушерских пунктов с указанием диапазона численности обслуживаемого населения, годового размера финансового обеспечения, а также информации о соответствии/несоответствии ФП, ФАП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требованиям, установленным положением об орг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анизации оказания первичной медико-санитарной помощи взрослому населению представлен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3 к Тарифному соглашению.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Размер финансового обеспечения медицинской организации, в составе которой имеются фельдшерские, фельдшерско-акушерские пункты, оп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среднего размера их ф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инансового обеспечения.</w:t>
      </w:r>
      <w:r>
        <w:rPr>
          <w:highlight w:val="white"/>
        </w:rPr>
      </w:r>
      <w:r/>
    </w:p>
    <w:p>
      <w:pPr>
        <w:ind w:firstLine="64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Расходы на оплату транспортных услуг не входят в размеры финансового обеспечения фельдшерских, фельдшерско-акушерских пунктов.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4"/>
          <w:szCs w:val="24"/>
          <w:highlight w:val="white"/>
        </w:rPr>
        <w:t xml:space="preserve">2.2.1.5.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Порядок оплаты медицинской помощи, оказанной в центрах здоровья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Медицинские организации, в составе которых созданы Центры здоровья, участвуют в реализации территориальной программы обязательного медицинского страхования в части оказания гражданам первичной медико-санитарной помощи в этих структурных подразделениях.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иницей объема первичной медико-санитарной  помощи, оказанной в  Центре здоровья, является посещение  гражданина, впервые обратившегося в отчетном году для проведения комплексного обследования.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Комплексное обследование в Центре здоровья взрослого гражданина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проводится 1 раз в отчетном году в следующем обязательном объеме: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врача-терапевта, включая измерение роста и веса;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гигиениста стоматологического для диагностики заболеваний зубов и полости рта, оценка гигиены полости рта с рекомендациями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индивидуальному уходу, при необходимости проведение профилактических процедур;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тестирование на аппаратно-программном комплексе для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скрининг-оценки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уровня психофизиологического и соматического здоровья, функциональных и адаптивных резервов организма;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ининг сердца компьютеризированный (экспресс-оценка состояния сердца по ЭКГ-сигналам от конечностей);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ангиологический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скрининг с автоматическим измерением систолического артериального давления и расчетом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плече-лодыжечного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индекса;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комплексная детальная оценка функций дыхательной системы;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экспресс-анализ для определения общего холестерина; 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экспресс-анализ для определения глюкозы в крови;</w:t>
      </w:r>
      <w:r>
        <w:rPr>
          <w:highlight w:val="white"/>
        </w:rPr>
      </w:r>
      <w:r/>
    </w:p>
    <w:p>
      <w:pPr>
        <w:numPr>
          <w:ilvl w:val="0"/>
          <w:numId w:val="3"/>
        </w:numPr>
        <w:ind w:hanging="99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проверка остроты зрения. </w:t>
      </w:r>
      <w:r>
        <w:rPr>
          <w:highlight w:val="white"/>
        </w:rPr>
      </w:r>
      <w:r/>
    </w:p>
    <w:p>
      <w:pPr>
        <w:ind w:left="169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  <w:r>
        <w:rPr>
          <w:highlight w:val="white"/>
        </w:rPr>
      </w:r>
      <w:r/>
    </w:p>
    <w:p>
      <w:pPr>
        <w:ind w:firstLine="36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наличии показаний  взрослым проводятся следующие обследования: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биоимпедансметрия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внутренних сред организма;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пульсоксиметрия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экспресс-исследование на содержание токсических веществ в биологических средах организма; 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исследование содержания окиси углеро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 выдыхаемого воздуха с определением карбоксигемоглобина;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определение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котинина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других биологических маркеров в крови и моче;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hanging="99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экспресс-исследование на содержание алкоголя, никотина в биологических жидкостях;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тонометрия; 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рефрактометрия (определени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полей зрения);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занятие ЛФК;</w:t>
      </w:r>
      <w:r>
        <w:rPr>
          <w:highlight w:val="white"/>
        </w:rPr>
      </w:r>
      <w:r/>
    </w:p>
    <w:p>
      <w:pPr>
        <w:numPr>
          <w:ilvl w:val="0"/>
          <w:numId w:val="1"/>
        </w:numPr>
        <w:ind w:left="708" w:firstLine="1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занятие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кардиотренажере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708"/>
        <w:jc w:val="both"/>
        <w:rPr>
          <w:rFonts w:ascii="Times New Roman" w:hAnsi="Times New Roman" w:cs="Times New Roman" w:eastAsia="Times New Roman"/>
          <w:sz w:val="22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Комплексное обследование в Центре здоровья детей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проводится 1 раз в отчетном году в следующем обязательном объеме: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врача-педиатра, включая измерение роста и веса;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осмотр гигиениста стоматологического для диагностики заболеваний зубов и полости рта, оценка гигиены полости рта с рекомендациями по индивидуальному уходу, при необходимости проведение профилактических процедур;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тестирование на аппаратно-программном компле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ксе для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скрининг-оценки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уровня психофизиологического и соматического здоровья, функциональных и адаптивных резервов организма; 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комплексная детальная оценка функций дыхательной системы; </w:t>
      </w:r>
      <w:r>
        <w:rPr>
          <w:highlight w:val="white"/>
        </w:rPr>
      </w:r>
      <w:r/>
    </w:p>
    <w:p>
      <w:pPr>
        <w:numPr>
          <w:ilvl w:val="0"/>
          <w:numId w:val="4"/>
        </w:num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экспресс-анализ для определения глюкозы в крови.</w:t>
      </w:r>
      <w:r>
        <w:rPr>
          <w:highlight w:val="white"/>
        </w:rPr>
      </w:r>
      <w:r/>
    </w:p>
    <w:p>
      <w:pPr>
        <w:ind w:firstLine="36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предоставляется законченный случай посещения Центра здоровья с выполненным обязательным объемом медицинских услуг, перечисленным выше. Случай с невыполненным комплексом обязательных обследований считается незаконченным и  оплате не подлежит.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</w:t>
      </w:r>
      <w:r>
        <w:rPr>
          <w:highlight w:val="white"/>
        </w:rPr>
      </w:r>
      <w:r/>
    </w:p>
    <w:p>
      <w:pPr>
        <w:ind w:firstLine="36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наличии показаний  детям проводятся следующие обследования: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1)   осмотр психолога;</w:t>
      </w:r>
      <w:r>
        <w:rPr>
          <w:highlight w:val="white"/>
        </w:rPr>
      </w:r>
      <w:r/>
    </w:p>
    <w:p>
      <w:pPr>
        <w:ind w:left="1211" w:hanging="50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биоимпедансметрия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внутренних сред организма;</w:t>
      </w:r>
      <w:r>
        <w:rPr>
          <w:highlight w:val="white"/>
        </w:rPr>
      </w:r>
      <w:r/>
    </w:p>
    <w:p>
      <w:pPr>
        <w:ind w:left="851" w:hanging="14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пульсоксиметрия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851" w:hanging="14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экспресс-исследование на содержание токсических веществ в биологических средах организма; </w:t>
      </w:r>
      <w:r>
        <w:rPr>
          <w:highlight w:val="white"/>
        </w:rPr>
      </w:r>
      <w:r/>
    </w:p>
    <w:p>
      <w:pPr>
        <w:ind w:left="851" w:hanging="14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5)    исследование содержания окиси углерода выдыхаемого воздуха с              определением карбоксигемоглобина;</w:t>
      </w:r>
      <w:r>
        <w:rPr>
          <w:highlight w:val="white"/>
        </w:rPr>
      </w:r>
      <w:r/>
    </w:p>
    <w:p>
      <w:pPr>
        <w:ind w:left="851" w:hanging="142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6)    определение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котинина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других биологически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 маркеров в крови и моче;</w:t>
      </w:r>
      <w:r>
        <w:rPr>
          <w:highlight w:val="white"/>
        </w:rPr>
      </w:r>
      <w:r/>
    </w:p>
    <w:p>
      <w:pPr>
        <w:ind w:left="851" w:hanging="14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7) экспресс-исследование на содержание алкоголя, никотина в биологических жидкостях;</w:t>
      </w:r>
      <w:r>
        <w:rPr>
          <w:highlight w:val="white"/>
        </w:rPr>
      </w:r>
      <w:r/>
    </w:p>
    <w:p>
      <w:pPr>
        <w:ind w:left="1211" w:hanging="50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8) тонометрия; </w:t>
      </w:r>
      <w:r>
        <w:rPr>
          <w:highlight w:val="white"/>
        </w:rPr>
      </w:r>
      <w:r/>
    </w:p>
    <w:p>
      <w:pPr>
        <w:ind w:left="851" w:hanging="142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9)  рефрактометрия (определение полей зрения);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10) скрининг сердца компьютеризированный;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11)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ангиологический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скрининг с автоматическим измерением систолического артериального давления и расчетом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плече-лодыжечного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индекса;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12) экспресс-анализ для определения  холестерина;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13)  занятие ЛФК;</w:t>
      </w:r>
      <w:r>
        <w:rPr>
          <w:highlight w:val="white"/>
        </w:rPr>
      </w:r>
      <w:r/>
    </w:p>
    <w:p>
      <w:pPr>
        <w:ind w:left="71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14) занятие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кардиотренажере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помощи по проведению комплексного обследования впервые обратившихся граждан, а также граждан,  обратившихся для динамического наблюдения, по рекомендации врача Центра здоровья, осуществляется из средств финансового обеспечения по подушев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ому нормативу медицинских организаций, чьи пациенты получили данную медицинскую помощь в Центрах здоровья.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по утвержденной форме отдельные счета и реестры счетов на медицинские услуги, оказанные в Центре здоровья,  и предо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ставляют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первичной медико-санитарной помощи, оказанной в Центрах здоровья гражданам, не застрахованным по обязательному медицинскому страхованию, осуществляется в соответствии с законодательством Россий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ской Федерации за счет бюджетных ассигнований соответствующих бюджетов.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2.2.1.6. Порядок оплаты  медицинских услуг по проведению диспансеризации определенных гру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ослого населения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16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22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(работающих граждан и неработающих граждан) проводится в соответствии с Приказом Минздрава России от 27.04.2021 № 404н.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проводится в два этапа.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Первый этап диспансеризации считаются завершенными в случае выполнения в тече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 календарного года не менее 85% от объема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фельдшером (акушеркой) или врачом акушером-гинекологом, взятие мазка с шейки матки, цитологическо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исследование мазка с шейки матки, определение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простат-специфического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антигена в крови.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выполнения в рамках 1 этапа диспансеризации менее 85% от объема диспансеризации, установленного для соответствующего возраста и пола гражданина, проведенная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испансеризация не подлежит оплате по тарифам диспансеризации, оплата таких услуг осуществляется по соответствующим тарифам на единицу объема (посещение, медицинская услуга).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4" w:tooltip="about:blank" w:history="1">
        <w:r>
          <w:rPr>
            <w:rFonts w:ascii="Times New Roman" w:hAnsi="Times New Roman" w:cs="Times New Roman" w:eastAsia="Times New Roman"/>
            <w:sz w:val="28"/>
            <w:szCs w:val="28"/>
            <w:highlight w:val="white"/>
          </w:rPr>
          <w:t xml:space="preserve">при</w:t>
        </w:r>
        <w:r>
          <w:rPr>
            <w:rFonts w:ascii="Times New Roman" w:hAnsi="Times New Roman" w:cs="Times New Roman" w:eastAsia="Times New Roman"/>
            <w:sz w:val="28"/>
            <w:szCs w:val="28"/>
            <w:highlight w:val="white"/>
          </w:rPr>
          <w:t xml:space="preserve">ложением № 8</w:t>
        </w:r>
      </w:hyperlink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15.05.2012  №543н.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Второй этап диспансеризации пров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одится с целью дополнительного обследования и уточнения диагноза заболевания (состояния), выявленного на первом этапе.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рамках второго этапа на оплату выставляются только те медицинские услуги, которые были фактически проведены пациенту.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низации формируют счета и реестры счетов на медицинские услуги по проведению диспансеризации и выставляют их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осуществляется в соответствии со «Справочником медицинских услуг по проведению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осуществляется из средств,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финансового обеспечения по подушевому нормати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ву медицинских организаций.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2.2.1.7. Порядок оплаты профилактических медицинских осмотров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медицинские осмотры проводятся в соответствии с Приказом Минздрава России от 27.04.2021 №404н.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медицинские осмотры осуществляются взрослому населению (в возрасте 18 лет и старше).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медицинские осмотры проводятся ежегодно: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качестве самостоятельного мероприятия;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рамках диспансеризации;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рамках диспансерного наблюдения (при проведении первого в текущем году диспансерного приема (осмотра, консультации).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Профилактический медицинский осмотр считаются завершенными в случае выполнения в течение календарного года не менее 85% от объема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лактическорго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рсмотра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дение маммографии, исследование кала на скрытую кровь иммунохимическим качественным или количественным методом, осмотр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фельдшером (акушеркой) или врачом акушером-гинекологом, взятие мазка с шейки матки, цитологическое исследование мазка с шейки матки, опре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простат-специфического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антигена в крови.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выполнения в рамках профилактического медицинского осмотра менее 85%, такие случаи не учитываются как проведенный профилактический осмотр и не подлежат оплате по тарифам на проведение профилактическ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их медицинских осмотров, оплата таких услуг осуществляется по соответствующим тарифам на единицу объема (посещение, медицинская услуга).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Медицинские организации формируют счета и реестры счетов на медицинские услуги по проведению профилактических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медицинских осмотров и выставляют на оплату в страховые медицинские организации.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Формирование реестров осуществляется в соответствии со «Справочником медицинских услуг по проведению профилактических медицинских осмотров».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Оплата реестров медицинской помощи по проведению медицинских осмотров осуществляется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финансового обеспечения по подушевому нормативу медицинских организаций</w:t>
      </w: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2.2.1.8. Порядок оплаты  медицинских услуг по проведению углу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бленной диспансеризации граждан, переболевших новой коронавирусной инфекцией (covid-19)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приказом Министерства здравоохранения Российской Федерации от 27.04.2021 № 404н, в дополнение к профилактическим медицинским осмотрам и диспансеризации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(далее - углубленная диспансеризация).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Углубленная диспансеризация также может быть прове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Проведение углубленной диспансеризации осуществляется вне зависимости от факта прохождения гражданами профилактич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еских медицинских осмотров или диспансеризации.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Углубленная диспансеризация проводится в два этапа. 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Первый этап углубленной диспансеризации проводится в целях выявления у граждан, перенесших новую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коронавирусную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измерение насыщения крови кислородом (сатурация) в покое;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б) тест с 6-минутн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в) проведение спирометрии или спирографии;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г) общий (клинически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й) анализ крови развернутый;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аланинаминотрансферазы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аспартатаминотран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сферазы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лактатдегидрогеназы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крови, исследование уровня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креатинина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е) определение концентрации Д-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димера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 у граждан, перенесших среднюю степень тяжести и выше новой коронавирусной инфекции (COVID-19);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ж) про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ведение рентгенографии органов грудной клетки (если не выполнялась ранее в течение года);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з) прием (осмотр) врачом-терапевтом (участковым терапевтом, врачом общей практики).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Второй этап диспансеризации проводится в целях дополнительного обследования и уточ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нения диагноза заболевания (состояния) и включает в себя: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б) проведение компьютерной томографии легких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показателя сатурации в покое 94 процента и ниже, а также по результатам проведения теста с 6-минутной ходьбой);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в) дуплексное сканирование вен нижних конечностей (при наличии показаний по результатам определения концентрации Д-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димера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крови).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Пр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и оплате углубленной диспансеризации применяются следующие способы: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в рамках 1 этапа углубленной диспансеризации: 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- за комплексное посещение, включающее измерение насыщения крови кислородом (сатурация) в покое, проведение спирометрии или спирографии, общи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й (клинический) анализ крови развернутый,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аланинаминотрансферазы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аспарта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таминотрансферазы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лактатдегидрогеназы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исследование уровня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креатинина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крови);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- за единицу объема медицинской помощи – медицинскую услугу при проведении теста с 6-минутной ходьбой (при исходной сатурации кислорода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крови 95 процентов и больше в сочетании с наличием у гражданина жалоб на одышку, отеки, которые появились впервые или повысилась их интенсивность), определении концентрации Д-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димера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 у граждан, перенесших среднюю степень тяжести и выше новой коронав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ирусной инфекции (COVID-19);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в рамках 2 этапа углубленной диспансеризации - за единицу объема медицинской помощи – медицинскую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услугу.</w:t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8"/>
        <w:ind w:firstLine="720"/>
        <w:jc w:val="both"/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Оп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лата за комплексное посещение, включающее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(включая исследования уровня холестерина, у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ровня липопротеинов низкой плотности, C-реактивного белка,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аланинаминотрансферазы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аспартатаминотрансферазы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определение активности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лактатдегидрогеназы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крови, исследование уровня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креатинина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крови) осуществляется в случае выполнения 100% исследований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и медицинских вмешательств, предусмотренных комплексным посещением. В случае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 если отдельные исследования и/или медицинские вмешательства не были выполнены, оплата такого случая не осуществляется.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углубленной диспансеризации граждан, переболевших новой коронавирусной инфекцией (covid-19) осуществляется из средств, не входящих в расчет финансового обеспечения по подушевому нормативу медицинских орган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изаций.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</w:rPr>
        <w:tab/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2.2.1.9. Порядок оплаты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пребывающих в стационарных учреждениях детей-сирот и детей, находящихся в трудной жизнен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ной ситуации осуществляется в соответствии с приказом Министерства здравоохранения Российской Федерации от 15.02.2013 № 72н.  </w:t>
      </w:r>
      <w:r>
        <w:rPr>
          <w:highlight w:val="white"/>
        </w:rPr>
      </w:r>
      <w:r/>
    </w:p>
    <w:p>
      <w:pPr>
        <w:ind w:right="40" w:firstLine="567"/>
        <w:jc w:val="both"/>
        <w:tabs>
          <w:tab w:val="left" w:pos="1037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пребывающих в стационарных учреждениях детей-сирот и детей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находящихся в трудной жизненной ситуации.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Незаконченные случаи диспансеризации не подлежат оплате по тари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фам на проведение диспансеризации пребывающих в стационарных учреждениях детей-сирот и детей, находящихся в трудной жизненной ситуации.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счета и реестры счетов на медицинские услуги по проведению диспансеризации и выставляю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 на оплату в страховые медицинские организации.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Формирование реестров осуществляется в соответствии со «Справочником медицинских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 проведение диспансеризации пребывающих в стационарных учреждениях детей-сирот и детей, находящихся в трудной жизненной ситуации».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Оплата реестров медицинской помощи по проведению диспансеризации осуществляется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ого обеспечения по подушевому нормативу медицинских организаций</w:t>
      </w: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2.2.1.10. Порядок оплаты диспансеризации детей-сирот и детей, оставшихся без попечения родите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лей, в том числе усыновленных (удочеренных), принятых под опеку (попечительство), в приемную или патронатную семью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highlight w:val="white"/>
        </w:rPr>
      </w:r>
      <w:bookmarkStart w:id="0" w:name="gjdgxs"/>
      <w:r>
        <w:rPr>
          <w:highlight w:val="white"/>
        </w:rPr>
      </w:r>
      <w:bookmarkEnd w:id="0"/>
      <w:r>
        <w:rPr>
          <w:highlight w:val="white"/>
        </w:rPr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Диспансеризации детей-сирот и детей, оставшихся без попечения родителей, в том числе усыновленных (удочеренных), принятых под опеку (попечит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ельство), в приемную или патронатную семью осуществляется в соответствии с приказом  Министерства здравоохранения Российской Федерации от 11.04.2013 № 216н.</w:t>
      </w:r>
      <w:r>
        <w:rPr>
          <w:highlight w:val="white"/>
        </w:rPr>
      </w:r>
      <w:r/>
    </w:p>
    <w:p>
      <w:pPr>
        <w:ind w:firstLine="567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и осуществляется в отношении детей-сирот и детей, оставшихся без попечения родителей.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оплату в СМО предоставляется законченный случай проведения диспансеризации в случае выполнения установленного объема обследования не менее 100 %.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Незаконченные случаи диспансеризации не подлежат оплате по тарифам на проведение диспансеризации детей-сирот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счета и реестры счетов на медицинские услуги по проведению диспан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серизации и выставляют их на оплату в страховые медицинские организации.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осуществляется в соответствии со «Справочником медицинских услуг на проведение диспансеризации детей-сирот и детей, оставшихся без попечения родителей, в том чис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ле усыновленных (удочеренных), принятых под опеку (попечительство), в приемную или патронатную семью».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диспансеризации осуществляется из средств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входящих в расчет финансового обеспечения по подушевому нормативу медицинских организаций</w:t>
      </w: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2.2.1.11. Порядок оплаты профилактических медицинских осмотров несовершеннолетних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осмотры несовершеннолетних осуществляются в соответствии с приказом 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инистерства здравоохранения РФ от 10.08.2017 № 514</w:t>
      </w:r>
      <w:bookmarkStart w:id="1" w:name="30j0zll"/>
      <w:r>
        <w:rPr>
          <w:highlight w:val="white"/>
        </w:rPr>
      </w:r>
      <w:bookmarkEnd w:id="1"/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еления групп здоровья и выработки рекомендаций для несовершеннолетних и их родителей или иных законных представителей.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организации формируют счета и реестры счетов на медицинские услуги по проведению медицинских осмотров несовершеннолетним и выставляют их на оплату в страховые медицинские организации.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Формирование реестров осуществляется в соответств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ии со «Справочником медицинских услуг по проведению медицинских осмотров несовершеннолетним».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реестров медицинской помощи по проведению медицинских осмотров осуществляется из средств,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финансового обеспечения по подушевому нормат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иву медицинских организаций.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ind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2.2.1.12.  Оплата диализа в амбулаторных условиях</w:t>
      </w:r>
      <w:r>
        <w:rPr>
          <w:highlight w:val="white"/>
        </w:rPr>
      </w:r>
      <w:r/>
    </w:p>
    <w:p>
      <w:pPr>
        <w:ind w:left="20" w:right="20" w:firstLine="700"/>
        <w:jc w:val="center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проведении диализа в амбулаторных условиях оплата осуществляется за медицинскую услугу – одну процедуру экстракорпорального диализа и один день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диализа.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медицинской помощи, как одно обращение учитываются: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проведении амбулаторного гемодиализа - лечение в течение одного месяца; 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диализе - ежедневные обмены с эффективным объемом диализата, в течение месяца.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проведении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проведение услуг диализа установлены единые тарифы для всех медицинских организаций независимо от уровня оказания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из средств, не входящих в расчет финансового обеспечения по подушевым нормативам финансирования медицинских организаций.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2.2.1.13. Оплата за проведение позитронной эмиссионной томографии, совмещенной с компьютерной томографией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Методическими рекомендациями Министерства здравоохранения Российской Федерации и Федерального фонда обязательного медицинского страх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ования «Методические рекомендации по способам оплаты медицинской помощи за счет средств обязательного медицинского страхования» оплата за проведение позитронной эмиссионной томографии, совмещенной с компьютерной томографией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(ПЭТ КТ) осуществляется</w:t>
      </w:r>
      <w:r>
        <w:rPr>
          <w:rFonts w:ascii="Times New Roman" w:hAnsi="Times New Roman" w:cs="Times New Roman"/>
          <w:spacing w:val="-18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амбулаторных условиях.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2.2.1.14. Оплата за проведение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медицинской реабилитации в амбулаторных условиях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реабилитации в амбулаторных условиях, включая реабилитацию пациентов после перенесенной новой 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ронавирусной инфекции (COVID-19), осуществляется вне подушевого норматива финансирования на прикрепившихся лиц к медицинской организации, исходя из установленных Территориальной программой государственных гарантий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в соответствии с Программой территориальн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ых нормативов объема и финансовых затрат на единицу объема для медицинской реабилитации.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этом комплексное посещение, как законченный случай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медицинской реабилитации в амбулаторных условиях, включает в среднем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10–12 посещений.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медицинской реаб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илитации в амбулаторных условиях осуществляется дифференцированно, в зависимости от оценки состояния пациента по ШРМ (2–3 балла) и заболевания (профиля заболевания), по поводу которого проводится медицинская реабилитация.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Оплате за комплексное посещение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длежит законченный случай медицинской реабилитации в амбулаторных условиях. Комплексное посещение включает набор необходимых консультаций специалистов, а также проведение методов реабилитации, определенных программами реабилитации. При этом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решению леч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(1-2 посещения).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из средств, не входящих в расчет финансового обеспечения по подушевым нормативам финансирования медицинских организаций.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2.2.1.15. Оплата за проведение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диспансерного наблюдения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Оплата случаев диспансерного наблюдения отдельных категорий граждан из числа взрослого населения по профилям и заболеваниям, установленным Приказом Министерства здравоохранения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от 15.03.2022 № 168н «Об утверждении порядка проведения диспансерного наблюдения за взрослыми»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ос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уществляется за комплексное посещение, включающее стоимость посещения врача, проводящего диспансерное наблюдение, а также усредненную стоимость лабораторных и диагностических исследований, предусмотренных порядком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проведения диспансерного наблюдения, утвержденным уполномоченным федеральным органом исполнительной власти в сфере охраны здоровья.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Тарифы на оплату диспансерного наблюдения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установленны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дифференцировано в зависимости от профиля врача, проводящего диспансе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рное наблюдение.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осуществляется из средств, не входящих в расчет финансового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обеспечения по подушевым нормативам финансирования медицинских организаций.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Оплата случаев диспансерного наблюдения детского населения, а также взрослого населения по профилям и заболеваниям, не предусмотренным Приказом Министерства здравоохранения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от 15.03.2022 № 168н «Об утверждении порядка проведения диспансерного наблюдения за взрослыми»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ос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уществляется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из средств, включенных в расчет подушевых нормативов финансирования амбулаторной медицинской помощи, по тарифам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обращения в связи с заболеванием для соответствующего профиля.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Для медицинских организаций, не имеющих прикрепившихся лиц оплата таких случае осуществляется за единицу объема (обращение).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2.2.1.16. Оплата за проведение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школы сахарного диабета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целях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повышения эффективности расходования средств обязательного медицинского страхования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оплата посещений школы сахарного диабета осуществляется за единицу объема медицинской помощи вне подушевого норматива финансирования. Медицинскую помощь в рамках школ сахар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ного диабета оплачивается за единицу объема – комплексное посещение, включающее от 15 до 20 часов занятий в рамках школы сахарного диабета, а также проверку дневников самоконтроля. 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комплексное посещение в школе сахарного диабета установлены в 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ависимости от типа сахарного диабета, а так же возраста пациента.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Тариф на проведение комплексного посещения школы сахарного диабета в среднем включает: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- для взрослых с сахарным диабетом 1 типа – 5  занятий продолжительностью 4 часа, а также проверка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невников самоконтроля;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- для взрослых с сахарным диабетом 2 типа – 5  занятий продолжительностью 3 часа, а также проверка дневников самоконтроля;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- для детей и подростков с сахарным диабетом - 10 занятий продолжительностью 2 часа, а также проверка дневни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ков самоконтроля.</w:t>
      </w:r>
      <w:r>
        <w:rPr>
          <w:highlight w:val="white"/>
        </w:rPr>
      </w:r>
      <w:r/>
    </w:p>
    <w:p>
      <w:pPr>
        <w:ind w:left="20" w:right="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2.3. Оплата медицинской помощи, оказанной в круглосуточных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стационаров медицинских организаций в разрезе уровней оказания медицинской помощи представлен в приложении № 4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2.3.1. Порядок оплаты медицинской помощи, оказанной в круглосуточных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стационарных условиях 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следующие способы оплаты: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случай госпитализации (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прерванный случай госпитализации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ной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для оплаты схемой ле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(включительно) со дня госпитализации (начала лечения), за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исключением случаев оказания медицинской п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омощи по группам заболеваний, состояний, приведенных в </w:t>
      </w:r>
      <w:hyperlink r:id="rId15" w:tooltip="https://login.consultant.ru/link/?req=doc&amp;base=LAW&amp;n=436688&amp;date=24.01.2023&amp;dst=108949&amp;field=134" w:history="1">
        <w:r>
          <w:rPr>
            <w:rFonts w:ascii="Times New Roman" w:hAnsi="Times New Roman" w:cs="Times New Roman" w:eastAsia="Times New Roman"/>
            <w:sz w:val="28"/>
            <w:szCs w:val="24"/>
            <w:highlight w:val="white"/>
            <w:lang w:bidi="ru-RU"/>
          </w:rPr>
          <w:t xml:space="preserve">приложении № 5</w:t>
        </w:r>
      </w:hyperlink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к Программе государственных гарантий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от 29.12.2022 года № 2497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, в том числе в сочетании с оплатой за услугу диализа.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Оплата за счет средств обязательного медицинского страхования медицинской помощи, оказанной в стационарных условиях, по КСГ осуществляется во всех страховых случаях, за исключением: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заболеваний, пр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лечении которых применяются виды и методы медицинской помощи по перечню видов высокотехнологичной медицинской помощи, включенных в базовую программу 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на которые установлены нормативы финансовых затрат на единицу объ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ема медицинской помощи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right="-58"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услуг диализа, включающих различные методы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лечения, включенного в Перечень видов ВМП,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включенных в базовую программу обязательного медицинского страх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ования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либо после оказания высокотехнологичной медицинской помощи определяются показания к оказанию специализированной медицинской помощи, указанные случаи оплачиваются дважды, в рамках специализированной медицинской помощи по соответствующей КСГ, а в рам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высокотехнологичной медицинской помощи по нормативу (среднему нормативу) финансовых затрат на единицу объема медицинской помощи. При этом предоперационный и послеоперационный период включается в законченный случай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лечения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как для специализированной, 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 и для высокотехнологичной медицинской помощи, и не может быть представлен к оплате по второму тарифу. 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Медицинская помощь в неотложной и экстренной формах, а также медицинская реабилитация в соответствии с порядками оказания медицинской помощи, на основе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клинических рекомендаций и с учетом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инвалидизирующими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заболеваниями, требующими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сверхдли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тельных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сроков лечения, при оказании детям специализированной либо высокотехнологичной медицинской помощи и оплачивается медицинским организациям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педиатрического профиля, имеющим необходимые лицензии, в соответствии с установленными способами оплаты.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Отнесение случая оказания медицинской помощи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к высокотехнологичной медицинской помощи осуществляется при соответствии наименования вида высокотехнологичной медицинской помощи, кодов МКБ–10, модели пациента, вида и метода лечения аналогичным параметрам, ус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тановленным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Программе государственных гарантий бесплатного оказания гражданам медицинской помощи на 2023 год и плановый период 2024 и 2025 годов, в рамках перечня видов высокотехнологичной медицинской помощи,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содержащего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том числе методы лечения и исто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чники финансового обеспечения высокотехнологичной медицинской помощи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Оплата видов высокотехнологичной медицинской помощи, включенных в базовую программу, осуществляется по нормативам финансовых затрат на единицу объема предоставления медицинской помощи, 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твержденным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Программе государственных гарантий бесплатного оказания гражданам медицинской помощи на 2023 год и плановый период 2024 и 2025 годов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случае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если хотя бы один из вышеуказанных параметров не соответствует Перечню ВМП, оплата случая оказания 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  <w:r>
        <w:rPr>
          <w:highlight w:val="white"/>
        </w:rPr>
      </w:r>
      <w:r/>
    </w:p>
    <w:p>
      <w:pPr>
        <w:ind w:right="-58"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Высокотехнологичная медицинская помощь, оказывается в 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дицинских организациях Липецкой области, медицинских организациях других субъектов РФ. </w:t>
      </w:r>
      <w:r>
        <w:rPr>
          <w:highlight w:val="white"/>
        </w:rPr>
      </w:r>
      <w:r/>
    </w:p>
    <w:p>
      <w:pPr>
        <w:ind w:left="40" w:right="20" w:firstLine="7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высокотехнологичной медицинской помощи, оказанной в медицинских организациях других субъектов РФ, осуществляется в рамках межтерриториальных взаиморасчетов в соо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тветствии с Правилами.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случае, если во время оказания высокотехнологичной медицинской помощи пациенту проводились услуги диализа, оплата таких услуг осуществляется по соответствующим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тарифам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дифференцированным в зависимости от метода проведения диализа.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КСГ осуществляется на основе совокупности следующих параметров, определяющих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затратоемкость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лечения пациентов (классификационных критериев):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a. Диагноз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b.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Хирургическая операция и (или) другая применяемая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нская технология (код в соответствии с Номенклатурой медицинских услуг, утвержденной приказом Министерства здравоохранения Российской Федерации от 13.10.2017 № 804н (далее – Номенклатура), а также, при необходимости, конкретизация медицинской услуги в зави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симости от особенностей ее исполнения (иной классификационный критерий);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Схема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МНН лекарственного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Возрастная категория пациента;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Сопутствующий диагноз и/или осложнения заболевания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g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Оценка сос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тояния пациента по шкалам: шкала оценки органной недостаточности у пациентов, находящихся на интенсивной терапии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оценки органной недостаточности у пациентов детского возраста, находящихся на интенсивной 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Pediatric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реабилитационной маршрутизации; индекс оценки тяжести и распространенности псориаза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Psoriasis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Area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Severity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Index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PASI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h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Длительность непрерывного проведения ресурсоемких медицинских услуг (искусственной вентиляции легких, видео-ЭЭГ-мониторинга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Количество дней проведения лучевой терапии (фракций);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Пол;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k. Длительность лечения;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l. Этап лечения, в том числе, долечива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 пациентов с коронавирусной инфекцией COVID-19,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посттрансплантационный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период после пересадки костного мозга;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m. Показания к применению лекарственного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Объем послеоперационных грыж брюшной стенки;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Степень тяжести заболевания;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Сочетани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нескольких классификационных критериев в рамках одного классификационного критерия (например, сочетание оценки состояния пациента по шкале реабилитационной маршрутизации с назначением ботулинического токсина).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оплаты случая лечения по КСГ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качестве основного диагноза указывается код по МКБ 10, являющийся основным поводом к госпитализации.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Исключением являются случаи, осложненные сепсисом и фебрильной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нейтропенией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arimo" w:hAnsi="arimo" w:cs="arimo" w:eastAsia="arimo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наличии хирургических операций и (или) других применяемых медицинских 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хнологий, являющихся классификационным критерием, отнесение случая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конкретной КСГ осуществляется в соответствии с кодом Номенклатуры.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группировки случаев, правила учета дополнительных классификационных критериев, подробный алгоритм отнес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ения случаев лечения к конкретным КСГ, правила применения поправочных коэффициентов, </w:t>
      </w:r>
      <w:bookmarkStart w:id="2" w:name="_1fob9te"/>
      <w:r>
        <w:rPr>
          <w:highlight w:val="white"/>
        </w:rPr>
      </w:r>
      <w:bookmarkEnd w:id="2"/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особенности формирования отдельных КСГ, подходы к оплате отдельных случаев оказания медицинской помощи по КСГ, определены Методическими рекомендациями Министерства здравоо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хранения Российской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страхования».</w:t>
      </w:r>
      <w:r>
        <w:rPr>
          <w:highlight w:val="white"/>
        </w:rPr>
      </w:r>
      <w:r/>
    </w:p>
    <w:p>
      <w:pPr>
        <w:ind w:left="675"/>
        <w:jc w:val="center"/>
        <w:spacing w:line="276" w:lineRule="auto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круг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лосуточном стационаре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2.4. Оплата медицинской помощи, оказанной в дневных стационарах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Перечень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медицинских организаций, оказывающих медицинскую помощь в дневных стационарах в разрезе уровней оказания медицинской помощи представлен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5 к Тарифному соглашению.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2.4.1. Порядок оплаты медицинской помощи, оказанной в дневных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При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в дневных стационарах 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следующие способы оплаты: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случай (законченный случай) лечения заболевания, включенного в группу заболеваний,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атистической группе заболеваний, группе высокотехнологичной медицинской помощи);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ым причинам оказана пациенту не в полном объеме по сравнению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3-х дней (включи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тельно) со дня госпитализации (начала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лечения), за исключением случаев оказания медицинской помощи по группам заболеваний, состояний, приведенных в </w:t>
      </w:r>
      <w:hyperlink r:id="rId16" w:tooltip="https://login.consultant.ru/link/?req=doc&amp;base=LAW&amp;n=436688&amp;date=24.01.2023&amp;dst=108949&amp;field=134" w:history="1">
        <w:r>
          <w:rPr>
            <w:rFonts w:ascii="Times New Roman" w:hAnsi="Times New Roman" w:cs="Times New Roman" w:eastAsia="Times New Roman"/>
            <w:sz w:val="28"/>
            <w:szCs w:val="24"/>
            <w:highlight w:val="white"/>
            <w:lang w:bidi="ru-RU"/>
          </w:rPr>
          <w:t xml:space="preserve">приложении N 5</w:t>
        </w:r>
      </w:hyperlink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к Программе государственных гарантий бесплатного оказания гражданам медицинской помощи на 2023 год и на плановый период 2024 и 2025 го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дов, утвержденной постановлением Правительства Российской Федерации от 29.12.2022 года № 2497, за услугу диализа (в том числе в сочетании с оплатой по клинико-статистической</w:t>
      </w: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  <w:t xml:space="preserve"> группе заболеваний, группе высокотехнологичной медицинской помощи)</w:t>
      </w:r>
      <w:r>
        <w:rPr>
          <w:rFonts w:ascii="Times New Roman" w:hAnsi="Times New Roman" w:cs="Times New Roman" w:eastAsia="Times New Roman"/>
          <w:sz w:val="28"/>
          <w:highlight w:val="white"/>
          <w:lang w:bidi="ru-RU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</w:r>
      <w:r>
        <w:rPr>
          <w:highlight w:val="white"/>
        </w:rPr>
      </w:r>
      <w:r/>
    </w:p>
    <w:p>
      <w:pPr>
        <w:jc w:val="both"/>
        <w:widowControl w:val="off"/>
        <w:tabs>
          <w:tab w:val="left" w:pos="851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за счет средств обязательного медицинского страхования медицинской помощи, оказанной в условиях дневного стационара, по КСГ осуществляется во всех страховых случаях, за исключением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услуг диализа, включающих различные методы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  <w:lang w:bidi="ru-RU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КСГ осущес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твляется на основе совокупности следующих параметров, определяющих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относительную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затратоемкость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лечения пациентов (классификационных критериев):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a. Диагноз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b.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Хирургическая операция и (или) другая применяемая медицинская технология (код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соответствии с Номенклатурой, а также, при необходимости, конкретизация медицинской услуги в зависимости от особенностей ее исполнения (иной классификационный критерий);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Схема лекарственной терапии;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d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МНН лекарственного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Возрастная категория пациента;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Сопутствующий диагноз и/или осложнения заболевания (код по МКБ 10);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g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Оценка состояния пациента по шкалам: шкала оценки органной недостаточности у пациентов, находящихся на интенсивной терапии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оценки органной недостаточности у пациентов детского возраста, находящихся на интенсивной терапии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Pediatric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Sequential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Organ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Failure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Assessment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pSOFA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шкала реабилитационной маршрутизации; индекс оценки тяжести и распространенно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сти псориаза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Psoriasis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Area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Severity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Index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PASI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h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Длительность непрерывного проведения ресурсоемких медицинских услуг (искусственной вентиляции легких, видео-ЭЭГ-мониторинга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Количество дней проведения лучевой терапии (фракций);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Пол;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k. Длительность лечения;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l. Этап лечения, в том числе этап проведения экстракорпорального оплодотворения, долечивание пациентов с коронавирусной инфекцией COVID-19,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посттрансплантационный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период после пересадки костного мозга;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m. Показания к применению лек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арственного препарата;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n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Объем послеоперационных грыж брюшной стенки;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o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Степень тяжести заболевания;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val="en-US"/>
        </w:rPr>
        <w:t xml:space="preserve">p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 Сочетание нескольких классификационных критериев в рамках одного классификационного критерия (например, сочетание оценки состояния пациента по шкале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еабилитационной маршрутизации с назначением ботулинического токсина).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оплаты случая лечения по КСГ в качестве основного диагноза указывается код по МКБ 10, являющийся основным поводом к госпитализации.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Исключением являются случаи, осложненные сепсисом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и фебрильной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нейтропенией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arimo" w:hAnsi="arimo" w:cs="arimo" w:eastAsia="arimo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наличии хирургических операций и (или) других применяемых медицинских технологий, являющихся классификационным критерием, отнесение случая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конкретной КСГ осуществляется в соответствии с кодом Номенклатуры.</w:t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группировки случаев, правила учета дополнительных классификационных критериев, подробный алгоритм отнесения случаев лечения к конкретным КСГ, правила применения поправочных коэффициентов, особенности формирования отдельных КСГ, подходы к оплате отд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ельных случаев оказания медицинской помощи по КСГ определены Методическими рекомендациями Министерства здравоохранения Российской Федерации и Федерального фонда обязательного медицинского страхования «Методические рекомендации по способам оплаты медицинско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помощи за счет средств обязательного медицинского страхования».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производится страховыми медицинскими организациями в пределах объемов и стоимости медицинских услуг, установленных Заданиями, утверждаемыми для МО Комиссией по разработке территориальной программы ОМС. </w:t>
      </w:r>
      <w:r>
        <w:rPr>
          <w:highlight w:val="white"/>
        </w:rPr>
      </w:r>
      <w:r/>
    </w:p>
    <w:p>
      <w:pPr>
        <w:ind w:right="-58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8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2.5. Оплата скорой медицинской помощи</w:t>
      </w:r>
      <w:r>
        <w:rPr>
          <w:highlight w:val="white"/>
        </w:rPr>
      </w:r>
      <w:r/>
    </w:p>
    <w:p>
      <w:pPr>
        <w:ind w:right="-58" w:firstLine="720"/>
        <w:jc w:val="center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оказывающих скорую медицинскую помощь в разрезе групп представлен в приложении № 6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2"/>
          <w:szCs w:val="2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2.5.1. Порядок оплаты медицинских услуг скорой медицинской пом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ощи</w:t>
      </w:r>
      <w:r>
        <w:rPr>
          <w:highlight w:val="white"/>
        </w:rPr>
      </w:r>
      <w:r/>
    </w:p>
    <w:p>
      <w:pPr>
        <w:ind w:firstLine="708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скорой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 в рамках базовой программы ОМС,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осуществляется: 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по подушевому нормативу финансирования; 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за единицу объема медицинской помощи – за вызов скорой медицинской помощи (используется при оплате медицинской помощи, оказанной застрахованным лицам за пределами субъекта Российской Федерации, на территории ко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  <w:r>
        <w:rPr>
          <w:highlight w:val="white"/>
        </w:rPr>
      </w:r>
      <w:r/>
    </w:p>
    <w:p>
      <w:pPr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Подушевой норматив финансирования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скорой медицинской помощи, оказываемой вне медицинской организации включает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расходы на оплату медицинской помощи в рамках базовой программы ОМС, в том числе на оплату за вызовы скорой медицинской помощи с применением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терапии.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включаются в подушевой норматив финансирования скорой медицинской помощи: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расходы,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направляемые на оплату скорой медицинской помощи вне медицинской организации, оказываемой застрахованным лицам за пределами Липецкой области;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расходы, направляемые на оплату скорой медицинской помощи больным психоневрологического профиля.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Оплата скорой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 сверх базовой программы ОМС (больным психоневрологического профиля) осуществляется за вызов скорой медицинской помощи из средств, переданных в составе межбюджетных трансфертов из областного бюджета на эти цели, в пределах объемов и стои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мости оказанных медицинских услуг в соответствии с утвержденным в установленном порядке Заданием.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по скорой медицинской помощи производится по тарифам 1 вызова скорой медицинской помощи для врачебных и фельдшерских бригад, принятым на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территории Липецкой области.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 реестров по скорой медицинской помощи сверх базовой программы ОМС производится по тарифам 1 вызова скорой медицинской помощи психоневрологического профиля, принятым на территории Липецкой области.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ТФОМС Липецкой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области предоставляется информация об  оказанной медицинской помощи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неидентифицированным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пациентам по базе застрахованных на территории Липецкой области в течение 5 рабочих дней месяца, следующего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отчетным.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предоставлении информации об оказанной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медицинской помощи в ТФОМС Липецкой области случаи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неидентифицированным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пациентам должны представляться отдельным реестром (списком). После получения информации, ТФОМС Липецкой области производит идентификацию данных случаев в соответствии с Правилами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обязательного медицинского страхования и направляет сведения для оплаты в СМО.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Оказание скорой медицинской помощи без выезда бригады по месту жительства пациента в случае самообращения на станцию скорой медицинской помощи осуществляется врачом или фельдшер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ом скорой медицинской помощи. 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Представление к оплате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помощи, оказанной на станции скорой помощи без выезда бригады при самообращении пациента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соответствующим тарифам.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дежурства бригад скорой помощи во время проведения массовых мероприятий не подлежит оплате из средств обязательного медицинского страхования.</w:t>
      </w:r>
      <w:r>
        <w:rPr>
          <w:highlight w:val="white"/>
        </w:rPr>
      </w:r>
      <w:r/>
    </w:p>
    <w:p>
      <w:pPr>
        <w:ind w:right="-58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8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Ежемесячная сумма финансирования скорой медицинской помощи рассчитывается ТФОМС Липецкой области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доводится до сведения СМО.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скорой медицинской помощи по утверждённым  подушевым нормативам осуществляется СМО, в соответствии с заключенными с МО договорами, в следующем порядке: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осуществляется авансирование МО;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окончательный расчет про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изводится ежемесячно путем оплаты предъявленного счета (с приложением реестра счета) за оказанные медицинские услуги отдельно прикрепленному и неприкрепленному населению к данной МО, с учетом выданных авансов.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СМО в свою очередь осуществляет расчеты за мед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ицинскую помощь, оказанную прикрепленному населению, за вычетом средств по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взаиморасчетам, в пределах размера финансового обеспечения по подушевому нормативу. </w:t>
      </w:r>
      <w:r>
        <w:rPr>
          <w:highlight w:val="white"/>
        </w:rPr>
      </w:r>
      <w:r/>
    </w:p>
    <w:p>
      <w:pPr>
        <w:ind w:firstLine="708"/>
        <w:jc w:val="both"/>
        <w:spacing w:after="36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Счета за медицинские услуги, оказанные гражданам, неприкрепленным к данной МО,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оплачиваются СМО по тарифам, определенным  для МО, оказавшей медицинскую помощь, из финансового обеспечения по подушевому нормативу тех МО, к которым данные граждане прикреплены.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реестре счета за медицинские услуги, оказанные гражданам, неприкрепленным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данной медицинской организации, отражается, в том числе информация наименовании медицинской организации, к которой прикреплен пациент.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Межучрежденческие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взаиморасчеты осуществляют СМО в следующем порядке: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в первую очередь, определяется сумма уменьшен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ия финансового обеспечения по подушевому нормативу каждой медицинской организации, в счет оплаты медицинской помощи оказанной прикрепленному к ней населению в других МО,  что производится путем суммирования стоимости позиций реестров счетов других МО по па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циентам, прикрепленным к данной медицинской организации;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затем определяется сумма средств за медицинские услуги, оказанные в данной МО населению, прикрепленному к другим МО, определяется по соответствующим счетам.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Контроль соот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ветствия суммы выставленных на оплату счетов  установленному размеру финансового обеспечения по подушевому нормативу осуществляют СМО. По результатам контроля ежемесячно оформляется протокол, в котором отражается сумма остатка (при его наличии).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Сумма оста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тка финансового обеспечения по подушевому нормативу определяется СМО для каждой МО следующим образом: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из общего размера финансового обеспечения по подушевому нормативу исключается сумма средств, предназначенная для перечисления в другие МО в рамках межу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чережденческих взаиморасчетов;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производится сопоставление суммы денежных средств по реестрам за медицинские услуги, оказанные населению, прикрепленному к МО, с суммой средств, установленной в результате действий, указанных в предыдущем абзаце. 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Оставшие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ся финансовые средства от суммы финансирования по подушевым нормативам направляются в соответствующие медицинские организации. 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превышения стоимости медицинской помощи по реестрам прикрепленного  населения над размером остатка финансового обеспече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ния по подушевому нормативу,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страховая медицинская организация производит оплату счетов за оказанную медицинскую помощь медицинским организациям в пределах суммы финансового обеспечения по подушевому нормативу.</w:t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ind w:left="644"/>
        <w:jc w:val="center"/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2"/>
          <w:szCs w:val="32"/>
          <w:highlight w:val="white"/>
        </w:rPr>
        <w:t xml:space="preserve">3. Тарифы на оплату медицинской помощи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и структура тарифов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медицинской помощи определены в соответствии с методикой расчета тарифов на оплату медицинской помощи по обязательному медицинскому страхованию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установленной разделом XII Правил.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Тарифы, установленные Тарифным Соглашен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ием, применяются, в том числе для осуществления межтерриториальных взаиморасчетов.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  <w:t xml:space="preserve">Коэффициент дифференциации, рассчитанный в соответствии с постановлением Правительства Российской Федерации от 05.05.2012 № 462 «О порядке распределения, предоставления и ра</w:t>
      </w:r>
      <w:r>
        <w:rPr>
          <w:rFonts w:ascii="Times New Roman" w:hAnsi="Times New Roman" w:cs="Times New Roman"/>
          <w:sz w:val="28"/>
          <w:highlight w:val="white"/>
        </w:rPr>
        <w:t xml:space="preserve">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r>
        <w:rPr>
          <w:rFonts w:ascii="Times New Roman" w:hAnsi="Times New Roman" w:cs="Times New Roman"/>
          <w:sz w:val="28"/>
          <w:highlight w:val="white"/>
        </w:rPr>
        <w:t xml:space="preserve">страхования</w:t>
      </w:r>
      <w:r>
        <w:rPr>
          <w:rFonts w:ascii="Times New Roman" w:hAnsi="Times New Roman" w:cs="Times New Roman"/>
          <w:sz w:val="28"/>
          <w:highlight w:val="white"/>
        </w:rPr>
        <w:t xml:space="preserve"> на осуществление переданных органам государственной власти субъектов Российской Федерации полно</w:t>
      </w:r>
      <w:r>
        <w:rPr>
          <w:rFonts w:ascii="Times New Roman" w:hAnsi="Times New Roman" w:cs="Times New Roman"/>
          <w:sz w:val="28"/>
          <w:highlight w:val="white"/>
        </w:rPr>
        <w:t xml:space="preserve">мочий Российской Федерации в сфере обязательного медицинского страхования» (далее – Постановление № 462) равен 1 и применяется на всей территории Липецкой области.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3.1. Тарифы на оплату амбулаторной медицинской помощи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Коэффициенты, применяемые при расчет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подушевых нормативов амбулаторной медицинской помощи, а так же фактические дифференцированные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 представлены в приложении № 7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Базовые нормативы финансовых затрат 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единицу объема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Вид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Единица объема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норматив финансовых затрат на единицу объема, руб.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Медицинская помощь в амбулаторных условиях, 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профилактической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 иными целями,</w:t>
            </w:r>
            <w:r>
              <w:rPr>
                <w:highlight w:val="white"/>
              </w:rPr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том числе: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посещение /комплексное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769,70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для проведения профилактических медицинских осмотров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2 050,50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для проведения диспансеризации - всего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2 507,20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в том числе для проведения углубленной диспансеризации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1 084,10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с иными целями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355,20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неотложной форме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770,00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связи с заболеваниями – обращений всего: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1 727,10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компьютерная томография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2 692,10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магнитно-резонансная томография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3 675,90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ультразвуковое исследование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543,60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эндоскопическое диагностическое 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996,80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молекулярно-генетические исследования с целью диагностики онкологических заболеваний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8 371,10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патологоанатомическое исследование биопсийного (операционного) материала с целью диагностики онкологических заболеваний и подбора противоопухоле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вой лекарственной терапии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исследование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2 064,50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- тестирование на выявление новой коронавирусной инфекции COVID-19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тестирование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399,60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1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диспансерное наблюдение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Merge w:val="restart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1268,60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медицинская реабилитация в амбулаторных условиях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комплексное посещение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contextualSpacing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19 906,00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3.1.1. Размер среднего подушевого норматива финансирования в амбулаторных условиях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5 920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04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3.1.2. Размер базового подушевого норматива финансирования медицинских организаций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–2 013,51 руб.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3.1.3. Половозрастные коэффициенты дифференциации подушевого норматива для медицинских организаций на 2023 год:</w:t>
      </w:r>
      <w:r>
        <w:rPr>
          <w:highlight w:val="white"/>
        </w:rPr>
      </w:r>
      <w:r/>
    </w:p>
    <w:tbl>
      <w:tblPr>
        <w:tblW w:w="10096" w:type="dxa"/>
        <w:tblInd w:w="93" w:type="dxa"/>
        <w:tblLook w:val="04A0" w:firstRow="1" w:lastRow="0" w:firstColumn="1" w:lastColumn="0" w:noHBand="0" w:noVBand="1"/>
      </w:tblPr>
      <w:tblGrid>
        <w:gridCol w:w="1820"/>
        <w:gridCol w:w="1655"/>
        <w:gridCol w:w="1655"/>
        <w:gridCol w:w="1655"/>
        <w:gridCol w:w="1655"/>
        <w:gridCol w:w="1656"/>
      </w:tblGrid>
      <w:tr>
        <w:trPr>
          <w:trHeight w:val="164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Пол</w:t>
            </w:r>
            <w:r>
              <w:rPr>
                <w:highlight w:val="white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Возраст, лет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0 до 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1 до 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5 до 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18-64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65 и старше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коэффициенты дифференциации подушевого норматива КД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Мужчины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1,877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1,541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1,147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0,675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1,600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9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Женщины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1,787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1,464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1,188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1,063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1,600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3.1.4. Перечень показателей результативности деятельности медицинских организаций, применяемых при осуществлении выплат медицинским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организациям, имеющим прикрепившихся лиц, критерии их оценки, размер и порядок осуществления выплат за их выполнение.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Перечень показателей результативности деятельности медицинских организаций (далее – показатели результативности деятельности) приведен в</w:t>
      </w:r>
      <w:r>
        <w:rPr>
          <w:rFonts w:ascii="Times New Roman" w:hAnsi="Times New Roman" w:cs="Times New Roman"/>
          <w:sz w:val="28"/>
          <w:highlight w:val="white"/>
        </w:rPr>
        <w:t xml:space="preserve"> таблице.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pPr w:horzAnchor="text" w:tblpX="200" w:vertAnchor="text" w:tblpY="1" w:leftFromText="180" w:topFromText="0" w:rightFromText="180" w:bottomFromText="0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"/>
        <w:gridCol w:w="1843"/>
        <w:gridCol w:w="142"/>
        <w:gridCol w:w="2267"/>
        <w:gridCol w:w="710"/>
      </w:tblGrid>
      <w:tr>
        <w:trPr>
          <w:trHeight w:val="837"/>
          <w:tblHeader/>
        </w:trPr>
        <w:tc>
          <w:tcPr>
            <w:shd w:val="clear" w:color="auto" w:fill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bottom w:val="single" w:color="000000" w:sz="8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Наименование показателя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Предположи-</w:t>
            </w:r>
            <w:r>
              <w:rPr>
                <w:highlight w:val="white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тельный результат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Индикаторы выполнения показателя ***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Макс. балл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2"/>
        </w:trPr>
        <w:tc>
          <w:tcPr>
            <w:gridSpan w:val="6"/>
            <w:shd w:val="clear" w:color="000000" w:fill="d9d9d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1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Блок 1. Взрослое население (в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8"/>
        </w:trPr>
        <w:tc>
          <w:tcPr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профилактических мероприятий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0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врачебных посещений с профилактической целью за период, от общего числа посещений за период (включая посещения на дому).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3%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3%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7%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Значение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 текущем периоде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значения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Липецкой области****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текущем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периоде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(далее – выше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среднего)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 текущем периоде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достигнуто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показателя (далее –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озможное значение)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- 1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91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- 1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 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9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зни установленным диагнозом злокачественное новообразование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2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ентов с впервые в жизни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легочная болезнь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7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сахарный диабет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81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Выполнение плана вакцинации взрослых граждан против новой коронавирусной инфекции (COVID-19) по эпидемиологическим показаниям за период).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(выполнение плана вакцинации  от количества прикрепившихся лиц в возрасте 18 лет и ста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рше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- при первичной вакцинации - 25 %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- при  вторичной вакцинации - 60 %)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100 % плана или более –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диспансерного наблюдения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8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3%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 ≥ 3%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 ≥ 7% - 2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 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8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Число взрослых пациентов с болезнями  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стемы кровообращения*, имеющих высокий риск преждевременной смерти,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 ≥ 10 % - 1 балл;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Значение 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оказателя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 текущем периоде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ниже среднего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значения по Липецкой области**** 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текущем периоде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(далее – ниже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среднего) - 0,5 балла;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 текущем периоде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достигнуто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показателя (далее 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- 1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52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болезни системы кровообращения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(90 % от количества прикрепившихся лиц 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9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хроническая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обструкт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ивная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болезнь легких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(100 % от количества прикрепившихся лиц 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544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 диагнозом сахарный диабет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(100 % от количества прикрепившихся лиц в возрасте 18 лет и старше)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2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пациентов, 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≥ 10 %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Ниже среднего - 0,5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балла;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947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пациентов, повторно госпитализированных за период по причине заболеваний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ичине заболеваний сердечно-сосудистой системы или их осложнений.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3%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 ≥ 3% - 1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 ≥ 7% - 2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Ниже среднего - 1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балл;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2 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833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взрослых пациентов, находящихся под диспансерным наблюд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ением по поводу сахарного диабета, у которых впервые зарегистрированы осложнения за период (диабетическая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ретинопатия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показателя за период по отношению к показателю в предыдущем периоде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Уменьшение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≥ 10 % - 1 балл;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 Ниже среднего - 0,5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балла;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Минимально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возможное значение 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21"/>
        </w:trPr>
        <w:tc>
          <w:tcPr>
            <w:gridSpan w:val="6"/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Блок 2. Детское население (от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</w:tr>
      <w:tr>
        <w:trPr>
          <w:trHeight w:val="17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профилактических мероприятий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962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Охват вакцинацией детей в рамках Национального календаря прививок.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(95 %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659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костно-мышечной системы и соединител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ьной ткани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(80 %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                  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00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глаза и его придаточного аппарата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(80 %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06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органов пищеварения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412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системы кровообращения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2 балла;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1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1262"/>
        </w:trPr>
        <w:tc>
          <w:tcPr>
            <w:shd w:val="clear" w:color="auto" w:fill="auto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детей, в отношении которых установлено диспансерное наблюден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 по поводу болезней эндокринной системы, расстройства питания и нарушения обмена веществ за период, от общего числа детей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впервые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(85 % от количества прикрепившихся лиц в возрасте от 0 до 17 лет включительно)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от числа подлежащих диспансерному наблюдению – 1 балл;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32"/>
        </w:trPr>
        <w:tc>
          <w:tcPr>
            <w:gridSpan w:val="6"/>
            <w:shd w:val="clear" w:color="000000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Блок 3. Оказание акушерско-гинекологической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78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Оценка эффективности профилактических мероприятий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7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доабортное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консультирование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- 1 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7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беременных женщин, вакцинированных против новой коронавирусной инфекции (COVID-19), за период, от числа женщин, состоящих на учете по беременности и родам на начало периода.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(50 % от числа женщин, состоящих на учете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беременности и родам на начало периода)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79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женщин с установленным диагнозом злокачественное новообразование шейки матки, выявленным впервые при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диспансеризации, от общего числа женщин с установленным диагнозом злокачественное новообразование шейки матки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10 % - 1 балл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10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женщин с установленным диагнозом злокачественное новообразование молочной железы, выявленным впервые при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диспансеризации, от общего числа женщин с установленным диагнозом злокачественное новообразование молочной железы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показателя  за период по отношению к показателю за предыдущий период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&lt; 5 % - 0 баллов;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Прирост ≥ 5 % - 0,5 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рирост ≥ 10 % - 1 балл 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Максимально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возможное значение -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 балл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>
          <w:trHeight w:val="7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Достижение планового показателя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(98 % от общего числа женщин, состоящих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на учете по беременности и родам за период)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7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100 % плана или более – 1 балл;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Выше среднего – 0,5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* по набору кодов Международной статистической классификацией болезней и проблем, связанных со здоровьем, десятого пересмотра (МКБ-10)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*** выполненным считается показатель со значением 0,5 и более баллов. В случае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если медицинская организация удовлетворяет нескольким критериям для начисления баллов –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присваивается максимальный из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возможных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для начисления балл. В случае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если значение,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ук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азанное в знаменателе соответствующих формул, приведенных в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Приложении № 21 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 равняется нулю, баллы по показателю не начисляю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тся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а ук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азанный показатель (по решению субъекта Российской Федерации) исключается из числа применяемых показателей при расчете доли достигнутых показателей результативности для медицинской организации за период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widowControl w:val="off"/>
        <w:rPr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**** среднее значение по субъекту Российск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ой Федерации по показателям рассчитывается,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на основании сведений об оказании медицинской помощи медицинскими организациями, имеющими прикрепленное население, оплата медицинской помощи в которых осуществляется по подушевому нормативу финансировани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пу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тем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деления суммы значений, указанных в числителе соответствующих формул, приведенных в Приложении № 21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, на сумму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значений, указанных в знам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енателе соответствующих формул, приведенных в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Приложении № 21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. Полученное значение умножается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на 100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  <w:highlight w:val="white"/>
        </w:rPr>
        <w:t xml:space="preserve">по аналогии с алгоритмом, описанным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в Приложении № 21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к Тарифному соглаш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ению</w:t>
      </w:r>
      <w:r>
        <w:rPr>
          <w:rFonts w:ascii="Times New Roman" w:hAnsi="Times New Roman" w:cs="Times New Roman" w:eastAsia="Times New Roman"/>
          <w:sz w:val="24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Минимально возможным значением пока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зателя является значение «0». Максимально возможным значением показателя «100 процентов».</w:t>
      </w:r>
      <w:r>
        <w:rPr>
          <w:highlight w:val="white"/>
        </w:rPr>
      </w:r>
      <w:r/>
    </w:p>
    <w:p>
      <w:pPr>
        <w:jc w:val="both"/>
        <w:widowControl w:val="off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группам диагнозов, обусловливающих высокий риск смерти, относится любое сочетание сопутствующих заболеваний и осложнений с основным диагнозом, указанных в таблице: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tbl>
      <w:tblPr>
        <w:tblStyle w:val="1047"/>
        <w:tblW w:w="10212" w:type="dxa"/>
        <w:tblLayout w:type="fixed"/>
        <w:tblLook w:val="04A0" w:firstRow="1" w:lastRow="0" w:firstColumn="1" w:lastColumn="0" w:noHBand="0" w:noVBand="1"/>
      </w:tblPr>
      <w:tblGrid>
        <w:gridCol w:w="3026"/>
        <w:gridCol w:w="3489"/>
        <w:gridCol w:w="3697"/>
      </w:tblGrid>
      <w:tr>
        <w:trPr>
          <w:trHeight w:val="185"/>
          <w:tblHeader/>
        </w:trPr>
        <w:tc>
          <w:tcPr>
            <w:tcW w:w="30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Основной диагноз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Сопутствующие заболевания</w:t>
            </w:r>
            <w:r>
              <w:rPr>
                <w:highlight w:val="white"/>
              </w:rPr>
            </w:r>
            <w:r/>
          </w:p>
        </w:tc>
        <w:tc>
          <w:tcPr>
            <w:tcW w:w="369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Осложнение заболевания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527"/>
        </w:trPr>
        <w:tc>
          <w:tcPr>
            <w:tcW w:w="30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Ишемические болезни сердца I20 - I25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Гипертензивные болезни I10 - I11; I12 - I13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Цереброваскулярные болезни I60 - I69</w:t>
            </w:r>
            <w:r>
              <w:rPr>
                <w:highlight w:val="white"/>
              </w:rPr>
            </w:r>
            <w:r/>
          </w:p>
        </w:tc>
        <w:tc>
          <w:tcPr>
            <w:tcW w:w="34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Сахарный диабет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E10 - E11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Хроническая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обструктивная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легочная болезнь J44.0 - J44.9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Хроническая болезнь почек, гипертензивная болезнь с поражением почек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N18.1 - N18.9</w:t>
            </w:r>
            <w:r>
              <w:rPr>
                <w:highlight w:val="white"/>
              </w:rPr>
            </w:r>
            <w:r/>
          </w:p>
        </w:tc>
        <w:tc>
          <w:tcPr>
            <w:tcW w:w="36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Недостаточность сердечная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I50.0 - I50.9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Нарушение ритма I48 - 49 Нарушения проводимости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I44 - I45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Сердце легочное хр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оническое I27.9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Гипостатическая пневмония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J18.2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Недостаточность почечная N18.9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Уремия N19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Гангрена R02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Недостаточность легочная J98.4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Эмфизема J43.9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Показатели разделены на блоки, отражающие результативность оказания медицинской помощи разным категориям населения (взрослому населению, детскому населению, акушерско-гинекологической помощи) в амбулаторных условиях.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случае, когда группа показателей резу</w:t>
      </w:r>
      <w:r>
        <w:rPr>
          <w:rFonts w:ascii="Times New Roman" w:hAnsi="Times New Roman" w:cs="Times New Roman"/>
          <w:sz w:val="28"/>
          <w:highlight w:val="white"/>
        </w:rPr>
        <w:t xml:space="preserve">льтативности одного из блоков неприменима для конкретной медицинской организации и (или) отчетного периода, суммарный максимальный балл и итоговый коэффициент для соответствующей медицинской организации рассчитываются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без учета этой группы показателей. 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ab/>
      </w:r>
      <w:r>
        <w:rPr>
          <w:rFonts w:ascii="Times New Roman" w:hAnsi="Times New Roman" w:cs="Times New Roman"/>
          <w:sz w:val="28"/>
          <w:highlight w:val="white"/>
        </w:rPr>
        <w:t xml:space="preserve">Оценка показателей, входящих в 1 блок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взрослому населению.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показател</w:t>
      </w:r>
      <w:r>
        <w:rPr>
          <w:rFonts w:ascii="Times New Roman" w:hAnsi="Times New Roman" w:cs="Times New Roman"/>
          <w:sz w:val="28"/>
          <w:highlight w:val="white"/>
        </w:rPr>
        <w:t xml:space="preserve">ей, входящих во 2 блок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детскому населению.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показателей, входящих в 3</w:t>
      </w:r>
      <w:r>
        <w:rPr>
          <w:rFonts w:ascii="Times New Roman" w:hAnsi="Times New Roman" w:cs="Times New Roman"/>
          <w:sz w:val="28"/>
          <w:highlight w:val="white"/>
        </w:rPr>
        <w:t xml:space="preserve"> блок осуществляется в медицинских организациях, для которых Комиссией по разработке территориальной программы ОМС распределены объемы оказания медицинской помощи в амбулаторных условия по профилю акушерство-гинекология. 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contextualSpacing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Каждый показатель, включенный в б</w:t>
      </w:r>
      <w:r>
        <w:rPr>
          <w:rFonts w:ascii="Times New Roman" w:hAnsi="Times New Roman" w:cs="Times New Roman"/>
          <w:sz w:val="28"/>
          <w:highlight w:val="white"/>
        </w:rPr>
        <w:t xml:space="preserve">лок, оценивается в баллах, которые суммируются. Максимально возможная сумма баллов по каждому блоку составляет: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- </w:t>
      </w:r>
      <w:r>
        <w:rPr>
          <w:rFonts w:ascii="Times New Roman" w:hAnsi="Times New Roman" w:cs="Times New Roman"/>
          <w:sz w:val="28"/>
          <w:highlight w:val="white"/>
        </w:rPr>
        <w:t xml:space="preserve">19</w:t>
      </w:r>
      <w:r>
        <w:rPr>
          <w:rFonts w:ascii="Times New Roman" w:hAnsi="Times New Roman" w:cs="Times New Roman"/>
          <w:sz w:val="28"/>
          <w:highlight w:val="white"/>
        </w:rPr>
        <w:t xml:space="preserve"> баллов для показателей блока 1;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- </w:t>
      </w:r>
      <w:r>
        <w:rPr>
          <w:rFonts w:ascii="Times New Roman" w:hAnsi="Times New Roman" w:cs="Times New Roman"/>
          <w:sz w:val="28"/>
          <w:highlight w:val="white"/>
        </w:rPr>
        <w:t xml:space="preserve">7</w:t>
      </w:r>
      <w:r>
        <w:rPr>
          <w:rFonts w:ascii="Times New Roman" w:hAnsi="Times New Roman" w:cs="Times New Roman"/>
          <w:sz w:val="28"/>
          <w:highlight w:val="white"/>
        </w:rPr>
        <w:t xml:space="preserve"> баллов для показателей блока 2;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- 6 баллов для показателей блока 3.</w:t>
      </w:r>
      <w:r>
        <w:rPr>
          <w:highlight w:val="white"/>
        </w:rPr>
      </w:r>
      <w:r/>
    </w:p>
    <w:p>
      <w:pPr>
        <w:pStyle w:val="1044"/>
        <w:contextualSpacing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зависимости от р</w:t>
      </w:r>
      <w:r>
        <w:rPr>
          <w:rFonts w:ascii="Times New Roman" w:hAnsi="Times New Roman" w:cs="Times New Roman"/>
          <w:sz w:val="28"/>
          <w:highlight w:val="white"/>
        </w:rPr>
        <w:t xml:space="preserve">езультатов деятельности медицинской организации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по каждому показателю определяется балл в диапазоне от 0 до 3 баллов.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 учетом фактического выполнения показателей,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медицинское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организации распределяются на три группы: </w:t>
      </w:r>
      <w:r>
        <w:rPr>
          <w:rFonts w:ascii="Times New Roman" w:hAnsi="Times New Roman"/>
          <w:color w:val="000000" w:themeColor="text1"/>
          <w:sz w:val="28"/>
          <w:highlight w:val="white"/>
          <w:lang w:val="en-US"/>
        </w:rPr>
        <w:t xml:space="preserve">I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– выполнившие до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40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процентов показателей, II – от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40 (включительно)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60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процентов показателей, </w:t>
      </w:r>
      <w:r>
        <w:rPr>
          <w:rFonts w:ascii="Times New Roman" w:hAnsi="Times New Roman"/>
          <w:color w:val="000000" w:themeColor="text1"/>
          <w:sz w:val="28"/>
          <w:highlight w:val="white"/>
          <w:lang w:val="en-US"/>
        </w:rPr>
        <w:t xml:space="preserve">III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от 60 (включительно)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процентов показателей.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расчета значений показателей результативности деятельности медицинских организаций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определен приложением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 к Тарифному соглашению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</w:t>
      </w:r>
      <w:r>
        <w:rPr>
          <w:rFonts w:ascii="Times New Roman" w:hAnsi="Times New Roman" w:cs="Times New Roman"/>
          <w:sz w:val="28"/>
          <w:highlight w:val="white"/>
        </w:rPr>
        <w:t xml:space="preserve">достижения значений показателей результативности деятельности медицинских организаций</w:t>
      </w:r>
      <w:r>
        <w:rPr>
          <w:rFonts w:ascii="Times New Roman" w:hAnsi="Times New Roman" w:cs="Times New Roman"/>
          <w:sz w:val="28"/>
          <w:highlight w:val="white"/>
        </w:rPr>
        <w:t xml:space="preserve"> оформляется решением Комиссии по разработке терри</w:t>
      </w:r>
      <w:r>
        <w:rPr>
          <w:rFonts w:ascii="Times New Roman" w:hAnsi="Times New Roman" w:cs="Times New Roman"/>
          <w:sz w:val="28"/>
          <w:highlight w:val="white"/>
        </w:rPr>
        <w:t xml:space="preserve">ториальной программы ОМС, которое доводится до сведения медицинских организаций не позднее 25 числа месяца, следующего за отчетным периодом. </w:t>
      </w:r>
      <w:r>
        <w:rPr>
          <w:highlight w:val="white"/>
        </w:rPr>
      </w:r>
      <w:r/>
    </w:p>
    <w:p>
      <w:pPr>
        <w:pStyle w:val="1044"/>
        <w:contextualSpacing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Объем средств, направляемый в медицинские организации по итогам </w:t>
      </w:r>
      <w:r>
        <w:rPr>
          <w:rFonts w:ascii="Times New Roman" w:hAnsi="Times New Roman" w:cs="Times New Roman"/>
          <w:sz w:val="28"/>
          <w:highlight w:val="white"/>
        </w:rPr>
        <w:t xml:space="preserve">оценки достижения значений показателей результатив</w:t>
      </w:r>
      <w:r>
        <w:rPr>
          <w:rFonts w:ascii="Times New Roman" w:hAnsi="Times New Roman" w:cs="Times New Roman"/>
          <w:sz w:val="28"/>
          <w:highlight w:val="white"/>
        </w:rPr>
        <w:t xml:space="preserve">ности</w:t>
      </w:r>
      <w:r>
        <w:rPr>
          <w:rFonts w:ascii="Times New Roman" w:hAnsi="Times New Roman" w:cs="Times New Roman"/>
          <w:sz w:val="28"/>
          <w:highlight w:val="white"/>
        </w:rPr>
        <w:t xml:space="preserve"> деятельности, складывается из двух частей: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highlight w:val="white"/>
        </w:rPr>
        <w:t xml:space="preserve">1 часть</w:t>
      </w:r>
      <w:r>
        <w:rPr>
          <w:rFonts w:ascii="Times New Roman" w:hAnsi="Times New Roman" w:cs="Times New Roman"/>
          <w:sz w:val="28"/>
          <w:highlight w:val="white"/>
        </w:rPr>
        <w:t xml:space="preserve"> – распределение 70 процентов от объема средств с учетом показателей результативности за соответствующий период.</w:t>
      </w:r>
      <w:r>
        <w:rPr>
          <w:highlight w:val="white"/>
        </w:rPr>
      </w:r>
      <w:r/>
    </w:p>
    <w:p>
      <w:pPr>
        <w:pStyle w:val="1044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sz w:val="28"/>
          <w:highlight w:val="white"/>
        </w:rPr>
        <w:br/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 с учето</w:t>
      </w:r>
      <w:r>
        <w:rPr>
          <w:rFonts w:ascii="Times New Roman" w:hAnsi="Times New Roman" w:cs="Times New Roman"/>
          <w:sz w:val="28"/>
          <w:highlight w:val="white"/>
        </w:rPr>
        <w:t xml:space="preserve">м численности прикрепленного населения.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=</m:t>
        </m:r>
        <m:f>
          <m:fPr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0,7×</m:t>
            </m:r>
            <m:sSubSup>
              <m:sSubSupPr>
                <m:alnScr m:val="off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highlight w:val="white"/>
                    <w:lang w:val="en-US"/>
                  </w:rPr>
                  <m:rPr/>
                  <m:t>j</m:t>
                </m:r>
              </m:sup>
            </m:sSubSup>
          </m:num>
          <m:den>
            <m:nary>
              <m:naryPr>
                <m:chr m:val="∑"/>
                <m:grow m:val="off"/>
                <m:limLoc m:val="undOvr"/>
                <m:subHide m:val="on"/>
                <m:supHide m:val="on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Числ</m:t>
                </m:r>
              </m:e>
            </m:nary>
          </m:den>
        </m:f>
      </m:oMath>
      <w:r>
        <w:rPr>
          <w:rFonts w:ascii="Times New Roman" w:hAnsi="Times New Roman" w:cs="Times New Roman"/>
          <w:sz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pStyle w:val="1044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   </m:t>
        </m:r>
      </m:oMath>
      <w:r>
        <w:rPr>
          <w:rFonts w:ascii="Times New Roman" w:hAnsi="Times New Roman" w:cs="Times New Roman"/>
          <w:sz w:val="28"/>
          <w:highlight w:val="white"/>
        </w:rPr>
        <w:t xml:space="preserve">объем средств, используемый при распределении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70 процентов от объема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в расчете на 1 пр</w:t>
      </w:r>
      <w:r>
        <w:rPr>
          <w:rFonts w:ascii="Times New Roman" w:hAnsi="Times New Roman" w:cs="Times New Roman"/>
          <w:sz w:val="28"/>
          <w:highlight w:val="white"/>
        </w:rPr>
        <w:t xml:space="preserve">икрепленное лицо,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    совокупный объем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Числ</m:t>
            </m:r>
          </m:e>
        </m:nary>
      </m:oMath>
      <w:r>
        <w:rPr>
          <w:rFonts w:ascii="Times New Roman" w:hAnsi="Times New Roman" w:cs="Times New Roman"/>
          <w:sz w:val="28"/>
          <w:highlight w:val="white"/>
        </w:rPr>
        <w:t xml:space="preserve">  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численность прикрепленного населения в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периоде ко всем медицинским организациям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качестве численности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прикрепленного населения к конкретной </w:t>
      </w:r>
      <w:r>
        <w:rPr>
          <w:rFonts w:ascii="Times New Roman" w:hAnsi="Times New Roman" w:cs="Times New Roman"/>
          <w:sz w:val="28"/>
          <w:highlight w:val="white"/>
        </w:rPr>
        <w:t xml:space="preserve">медицинской организации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рекомендуется использовать среднюю численность за период.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Объем средств, направляемый в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/>
          <w:sz w:val="28"/>
          <w:highlight w:val="white"/>
        </w:rPr>
        <w:t xml:space="preserve">-ю медицинскую организацию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</w:t>
      </w:r>
      <w:r>
        <w:rPr>
          <w:rFonts w:ascii="Times New Roman" w:hAnsi="Times New Roman" w:cs="Times New Roman"/>
          <w:sz w:val="28"/>
          <w:highlight w:val="white"/>
        </w:rPr>
        <w:t xml:space="preserve"> при распределении 70 процентов от объема сред</w:t>
      </w:r>
      <w:r>
        <w:rPr>
          <w:rFonts w:ascii="Times New Roman" w:hAnsi="Times New Roman" w:cs="Times New Roman"/>
          <w:sz w:val="28"/>
          <w:highlight w:val="white"/>
        </w:rPr>
        <w:t xml:space="preserve">ств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с учетом показателей результативности (</w:t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Д(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нас)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), рассчитывается следующим образом: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РД(нас)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Theme="minorEastAsia"/>
            <w:sz w:val="32"/>
            <w:szCs w:val="32"/>
            <w:highlight w:val="white"/>
          </w:rPr>
          <m:rPr/>
          <m:t>=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="Times New Roman"/>
            <w:sz w:val="28"/>
            <w:highlight w:val="white"/>
          </w:rPr>
          <m:rPr/>
          <m:t>×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Числ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 w:eastAsiaTheme="minorEastAsia"/>
          <w:sz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rFonts w:ascii="Times New Roman" w:hAnsi="Times New Roman" w:cs="Times New Roman" w:eastAsiaTheme="minorEastAsia"/>
          <w:sz w:val="28"/>
          <w:highlight w:val="white"/>
        </w:rPr>
        <w:t xml:space="preserve">где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Числ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–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численность прикрепленного населения в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периоде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br/>
        <w:t xml:space="preserve">к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-той медицинской организации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</w:t>
      </w:r>
      <w:r>
        <w:rPr>
          <w:rFonts w:ascii="Times New Roman" w:hAnsi="Times New Roman" w:cs="Times New Roman"/>
          <w:sz w:val="28"/>
          <w:highlight w:val="white"/>
        </w:rPr>
        <w:t xml:space="preserve"> 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групп.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highlight w:val="white"/>
        </w:rPr>
        <w:t xml:space="preserve">2 часть</w:t>
      </w:r>
      <w:r>
        <w:rPr>
          <w:rFonts w:ascii="Times New Roman" w:hAnsi="Times New Roman" w:cs="Times New Roman"/>
          <w:sz w:val="28"/>
          <w:highlight w:val="white"/>
        </w:rPr>
        <w:t xml:space="preserve"> – распределение 30 процентов от объема средств с учетом показателей результативности за соответствующей период.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Указанные средства распределяются среди медицинских организаций </w:t>
      </w:r>
      <w:r>
        <w:rPr>
          <w:rFonts w:ascii="Times New Roman" w:hAnsi="Times New Roman" w:cs="Times New Roman"/>
          <w:sz w:val="28"/>
          <w:highlight w:val="white"/>
        </w:rPr>
        <w:br/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 с учетом абсолютного количества набранных соответствующими медицинс</w:t>
      </w:r>
      <w:r>
        <w:rPr>
          <w:rFonts w:ascii="Times New Roman" w:hAnsi="Times New Roman" w:cs="Times New Roman"/>
          <w:sz w:val="28"/>
          <w:highlight w:val="white"/>
        </w:rPr>
        <w:t xml:space="preserve">кими организациями баллов.</w:t>
      </w:r>
      <w:r>
        <w:rPr>
          <w:highlight w:val="white"/>
        </w:rPr>
      </w:r>
      <w:r/>
    </w:p>
    <w:p>
      <w:pPr>
        <w:pStyle w:val="1044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=</m:t>
        </m:r>
        <m:f>
          <m:fPr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fPr>
          <m:num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0,3×</m:t>
            </m:r>
            <m:sSubSup>
              <m:sSubSupPr>
                <m:alnScr m:val="off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highlight w:val="white"/>
                    <w:lang w:val="en-US"/>
                  </w:rPr>
                  <m:rPr/>
                  <m:t>j</m:t>
                </m:r>
              </m:sup>
            </m:sSubSup>
          </m:num>
          <m:den>
            <m:nary>
              <m:naryPr>
                <m:chr m:val="∑"/>
                <m:grow m:val="off"/>
                <m:limLoc m:val="undOvr"/>
                <m:subHide m:val="on"/>
                <m:supHide m:val="on"/>
                <m:ctrlPr>
                  <w:rPr>
                    <w:rFonts w:ascii="Cambria Math" w:hAnsi="Cambria Math" w:cs="Cambria Math" w:eastAsia="Cambria Math"/>
                    <w:i/>
                    <w:sz w:val="28"/>
                    <w:highlight w:val="white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highlight w:val="white"/>
                  </w:rPr>
                  <m:rPr/>
                  <m:t>Балл</m:t>
                </m:r>
              </m:e>
            </m:nary>
          </m:den>
        </m:f>
      </m:oMath>
      <w:r>
        <w:rPr>
          <w:rFonts w:ascii="Times New Roman" w:hAnsi="Times New Roman" w:cs="Times New Roman"/>
          <w:sz w:val="28"/>
          <w:highlight w:val="white"/>
        </w:rPr>
        <w:t xml:space="preserve">, </w:t>
      </w:r>
      <w:r>
        <w:rPr>
          <w:highlight w:val="white"/>
        </w:rPr>
      </w:r>
      <w:r/>
    </w:p>
    <w:p>
      <w:pPr>
        <w:pStyle w:val="1044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     объем средств, используемый при распределении 30 процентов от объема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в расчете на 1 балл,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       </w:t>
      </w:r>
      <w:r>
        <w:rPr>
          <w:rFonts w:ascii="Times New Roman" w:hAnsi="Times New Roman" w:cs="Times New Roman"/>
          <w:sz w:val="28"/>
          <w:highlight w:val="white"/>
        </w:rPr>
        <w:t xml:space="preserve"> совокупный объем средств на стимулирование медицинских организаций за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/>
          <w:sz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highlight w:val="white"/>
        </w:rPr>
        <w:t xml:space="preserve">ый</w:t>
      </w:r>
      <w:r>
        <w:rPr>
          <w:rFonts w:ascii="Times New Roman" w:hAnsi="Times New Roman" w:cs="Times New Roman"/>
          <w:sz w:val="28"/>
          <w:highlight w:val="white"/>
        </w:rPr>
        <w:t xml:space="preserve"> период, рублей;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nary>
          <m:naryPr>
            <m:chr m:val="∑"/>
            <m:grow m:val="off"/>
            <m:limLoc m:val="undOvr"/>
            <m:subHide m:val="on"/>
            <m:supHide m:val="on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Балл</m:t>
            </m:r>
          </m:e>
        </m:nary>
      </m:oMath>
      <w:r>
        <w:rPr>
          <w:rFonts w:ascii="Times New Roman" w:hAnsi="Times New Roman" w:cs="Times New Roman"/>
          <w:sz w:val="28"/>
          <w:highlight w:val="white"/>
        </w:rPr>
        <w:t xml:space="preserve">      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количество   баллов,   набранных   в  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  периоде   всеми медицинскими организациями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Объем средств, направляемый в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/>
          <w:sz w:val="28"/>
          <w:highlight w:val="white"/>
        </w:rPr>
        <w:t xml:space="preserve">-ю медицинскую организацию </w:t>
      </w:r>
      <w:r>
        <w:rPr>
          <w:rFonts w:ascii="Times New Roman" w:hAnsi="Times New Roman" w:cs="Times New Roman"/>
          <w:sz w:val="28"/>
          <w:highlight w:val="white"/>
        </w:rPr>
        <w:br/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период,</w:t>
      </w:r>
      <w:r>
        <w:rPr>
          <w:rFonts w:ascii="Times New Roman" w:hAnsi="Times New Roman" w:cs="Times New Roman"/>
          <w:sz w:val="28"/>
          <w:highlight w:val="white"/>
        </w:rPr>
        <w:t xml:space="preserve"> при распределении 30 процентов от объема средств на стимулирование медицинских организаций (</w:t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Д(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балл)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</m:oMath>
      <w:r>
        <w:rPr>
          <w:rFonts w:ascii="Times New Roman" w:hAnsi="Times New Roman" w:cs="Times New Roman"/>
          <w:sz w:val="28"/>
          <w:highlight w:val="white"/>
        </w:rPr>
        <w:t xml:space="preserve">), рассчитывается следующим образом:</w:t>
      </w:r>
      <w:r>
        <w:rPr>
          <w:highlight w:val="white"/>
        </w:rPr>
      </w:r>
      <w:r/>
    </w:p>
    <w:p>
      <w:pPr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32"/>
                <w:szCs w:val="32"/>
                <w:highlight w:val="white"/>
              </w:rPr>
            </m:ctrlPr>
          </m:sSubSupPr>
          <m:e>
            <m:sSub>
              <m:sSubPr>
                <m:ctrlPr>
                  <w:rPr>
                    <w:rFonts w:ascii="Cambria Math" w:hAnsi="Cambria Math" w:cs="Cambria Math" w:eastAsia="Cambria Math"/>
                    <w:i/>
                    <w:sz w:val="32"/>
                    <w:szCs w:val="32"/>
                    <w:highlight w:val="whit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highlight w:val="white"/>
                  </w:rPr>
                  <m:rPr/>
                  <m:t>РД(балл)</m:t>
                </m:r>
              </m:sub>
            </m:sSub>
          </m:e>
          <m:sub>
            <m:r>
              <w:rPr>
                <w:rFonts w:ascii="Cambria Math" w:hAnsi="Cambria Math" w:cs="Times New Roman"/>
                <w:sz w:val="32"/>
                <w:szCs w:val="32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Theme="minorEastAsia"/>
            <w:sz w:val="32"/>
            <w:szCs w:val="32"/>
            <w:highlight w:val="white"/>
          </w:rPr>
          <m:rPr/>
          <m:t>=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ОС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="Times New Roman"/>
            <w:sz w:val="28"/>
            <w:highlight w:val="white"/>
          </w:rPr>
          <m:rPr/>
          <m:t>×</m:t>
        </m:r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Балл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 w:eastAsia="Times New Roman"/>
            <w:sz w:val="28"/>
            <w:highlight w:val="white"/>
          </w:rPr>
          <m:rPr/>
          <m:t>,</m:t>
        </m:r>
      </m:oMath>
      <w:r>
        <w:rPr>
          <w:rFonts w:ascii="Times New Roman" w:hAnsi="Times New Roman" w:cs="Times New Roman" w:eastAsiaTheme="minorEastAsia"/>
          <w:sz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rPr>
          <w:rFonts w:ascii="Times New Roman" w:hAnsi="Times New Roman" w:cs="Times New Roman" w:eastAsiaTheme="minorEastAsia"/>
          <w:sz w:val="28"/>
          <w:highlight w:val="white"/>
        </w:rPr>
      </w:pPr>
      <w:r>
        <w:rPr>
          <w:rFonts w:ascii="Times New Roman" w:hAnsi="Times New Roman" w:cs="Times New Roman" w:eastAsiaTheme="minorEastAsia"/>
          <w:sz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highlight w:val="white"/>
        </w:rPr>
      </w:r>
      <m:oMath>
        <m:sSubSup>
          <m:sSubSupPr>
            <m:alnScr m:val="off"/>
            <m:ctrlPr>
              <w:rPr>
                <w:rFonts w:ascii="Cambria Math" w:hAnsi="Cambria Math" w:cs="Cambria Math" w:eastAsia="Cambria Math"/>
                <w:i/>
                <w:sz w:val="28"/>
                <w:highlight w:val="white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Балл</m:t>
            </m:r>
          </m:e>
          <m:sub>
            <m:r>
              <w:rPr>
                <w:rFonts w:ascii="Cambria Math" w:hAnsi="Cambria Math" w:cs="Times New Roman"/>
                <w:sz w:val="28"/>
                <w:highlight w:val="white"/>
              </w:rPr>
              <m:rPr/>
              <m:t>i</m:t>
            </m:r>
          </m:sub>
          <m:sup>
            <m:r>
              <w:rPr>
                <w:rFonts w:ascii="Cambria Math" w:hAnsi="Cambria Math" w:cs="Times New Roman"/>
                <w:sz w:val="28"/>
                <w:highlight w:val="white"/>
                <w:lang w:val="en-US"/>
              </w:rPr>
              <m:rPr/>
              <m:t>j</m:t>
            </m:r>
          </m:sup>
        </m:sSubSup>
        <m:r>
          <w:rPr>
            <w:rFonts w:ascii="Cambria Math" w:hAnsi="Cambria Math" w:cs="Times New Roman"/>
            <w:sz w:val="28"/>
            <w:highlight w:val="white"/>
          </w:rPr>
          <m:rPr/>
          <m:t>         </m:t>
        </m:r>
      </m:oMath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количество баллов, набранных в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-м периоде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-той медицинской организацией </w:t>
      </w:r>
      <w:r>
        <w:rPr>
          <w:rFonts w:ascii="Times New Roman" w:hAnsi="Times New Roman" w:cs="Times New Roman"/>
          <w:sz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/>
          <w:sz w:val="28"/>
          <w:highlight w:val="white"/>
        </w:rPr>
        <w:t xml:space="preserve"> группы.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 w:eastAsiaTheme="minorEastAsia"/>
          <w:sz w:val="28"/>
          <w:szCs w:val="28"/>
          <w:highlight w:val="white"/>
        </w:rPr>
      </w:pP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Общий объем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средств, направляемых на оплату медицинской помощи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br/>
        <w:t xml:space="preserve">с учетом показателей результативности деятельности в медицинскую организацию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III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группы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 определяется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путем суммирования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br/>
        <w:t xml:space="preserve">1 и 2 частей, а для медицинских организаций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I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группы за 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  <w:lang w:val="en-US"/>
        </w:rPr>
        <w:t xml:space="preserve">j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тый</w:t>
      </w:r>
      <w:r>
        <w:rPr>
          <w:rFonts w:ascii="Times New Roman" w:hAnsi="Times New Roman" w:cs="Times New Roman" w:eastAsiaTheme="minorEastAsia"/>
          <w:sz w:val="28"/>
          <w:szCs w:val="28"/>
          <w:highlight w:val="white"/>
        </w:rPr>
        <w:t xml:space="preserve"> период  –  равняется нулю.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Осуществление выплат стимулирующего характера в полном объеме медицинской организации, оказывающей медицинскую помощь </w:t>
      </w:r>
      <w:r>
        <w:rPr>
          <w:rFonts w:ascii="Times New Roman" w:hAnsi="Times New Roman" w:cs="Times New Roman"/>
          <w:sz w:val="28"/>
          <w:highlight w:val="white"/>
        </w:rPr>
        <w:br/>
        <w:t xml:space="preserve">в а</w:t>
      </w:r>
      <w:r>
        <w:rPr>
          <w:rFonts w:ascii="Times New Roman" w:hAnsi="Times New Roman" w:cs="Times New Roman"/>
          <w:sz w:val="28"/>
          <w:highlight w:val="white"/>
        </w:rPr>
        <w:t xml:space="preserve">мбулаторных условиях, по результатам оценки ее деятельности, производится при условии фактического выполнения не менее 90 процентов установленных решением Комиссии по разработке территориальной программы ОМС объемов предоставления медицинской помощи с проф</w:t>
      </w:r>
      <w:r>
        <w:rPr>
          <w:rFonts w:ascii="Times New Roman" w:hAnsi="Times New Roman" w:cs="Times New Roman"/>
          <w:sz w:val="28"/>
          <w:highlight w:val="white"/>
        </w:rPr>
        <w:t xml:space="preserve">илактической и иными целями, а также по поводу заболеваний (посещений и обращений соответственно).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случае выполнения медицинской организацией менее 90 процентов указанного объема медицинской помощи, при расчете размера выплат стимулирующего характера при</w:t>
      </w:r>
      <w:r>
        <w:rPr>
          <w:rFonts w:ascii="Times New Roman" w:hAnsi="Times New Roman" w:cs="Times New Roman"/>
          <w:sz w:val="28"/>
          <w:highlight w:val="white"/>
        </w:rPr>
        <w:t xml:space="preserve">меняются понижающие коэффициенты в зависимости от процента выполнения объемов медицинской помощи.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Размер понижающего коэффициента определяется как отношение фактического объема медицинской помощи к объему в размере 90% от объемов, установленных решением Ко</w:t>
      </w:r>
      <w:r>
        <w:rPr>
          <w:rFonts w:ascii="Times New Roman" w:hAnsi="Times New Roman" w:cs="Times New Roman"/>
          <w:sz w:val="28"/>
          <w:highlight w:val="white"/>
        </w:rPr>
        <w:t xml:space="preserve">миссии по разработке территориальной программы ОМС. </w:t>
      </w:r>
      <w:r>
        <w:rPr>
          <w:rFonts w:ascii="Times New Roman" w:hAnsi="Times New Roman" w:cs="Times New Roman"/>
          <w:sz w:val="28"/>
          <w:highlight w:val="white"/>
        </w:rPr>
        <w:t xml:space="preserve">При расчете понижающего коэффициента учитывается средний процент выполнения объемов предоставления медицинской помощи с профилактической и иными целями, и по поводу заболеваний.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Размер средств, направляе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мых на выплаты медицинским организациям в случае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достижения целевых значений показателей результативности деятельности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составляет 5% от базового норматива финансирования на прикрепившихся лиц.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Мониторинг </w:t>
      </w:r>
      <w:r>
        <w:rPr>
          <w:rFonts w:ascii="Times New Roman" w:hAnsi="Times New Roman" w:cs="Times New Roman"/>
          <w:sz w:val="28"/>
          <w:highlight w:val="white"/>
        </w:rPr>
        <w:t xml:space="preserve">достижения значений показателей результативности дея</w:t>
      </w:r>
      <w:r>
        <w:rPr>
          <w:rFonts w:ascii="Times New Roman" w:hAnsi="Times New Roman" w:cs="Times New Roman"/>
          <w:sz w:val="28"/>
          <w:highlight w:val="white"/>
        </w:rPr>
        <w:t xml:space="preserve">тельности</w:t>
      </w:r>
      <w:r>
        <w:rPr>
          <w:rFonts w:ascii="Times New Roman" w:hAnsi="Times New Roman" w:cs="Times New Roman"/>
          <w:sz w:val="28"/>
          <w:highlight w:val="white"/>
        </w:rPr>
        <w:t xml:space="preserve"> по каждой медицинской организации и ранжирование медицинских организаций осуществляется Комиссией по разработке территориальной программы ОМС по итогам работы за 1 квартал, первое полугодие, за период январь-сентябрь текущего года (включительно),</w:t>
      </w:r>
      <w:r>
        <w:rPr>
          <w:rFonts w:ascii="Times New Roman" w:hAnsi="Times New Roman" w:cs="Times New Roman"/>
          <w:sz w:val="28"/>
          <w:highlight w:val="white"/>
        </w:rPr>
        <w:t xml:space="preserve"> за период декабрь предыдущего года - ноябрь текущего года (включительно).</w:t>
      </w:r>
      <w:r>
        <w:rPr>
          <w:highlight w:val="white"/>
        </w:rPr>
      </w:r>
      <w:r/>
    </w:p>
    <w:p>
      <w:pPr>
        <w:pStyle w:val="1044"/>
        <w:ind w:firstLine="567"/>
        <w:jc w:val="both"/>
        <w:spacing w:before="120"/>
        <w:rPr>
          <w:rFonts w:ascii="Times New Roman" w:hAnsi="Times New Roman"/>
          <w:color w:val="000000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Осуществление выплат по результатам оценки достижения медицинскими организациями, оказывающими медицинскую помощь в амбулаторных условиях, значений показателей результативности деят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ельности осуществляется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по итогам года.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При этом выплаты по итогам года распределяются на основе сведений об оказанной медицинской помощи за период декабрь предыдущего года - ноябрь текущего года (включительно) и включаются в счет за ноябрь.</w:t>
      </w:r>
      <w:r>
        <w:rPr>
          <w:highlight w:val="white"/>
        </w:rPr>
      </w:r>
      <w:r/>
    </w:p>
    <w:p>
      <w:pPr>
        <w:pStyle w:val="1044"/>
        <w:ind w:firstLine="720"/>
        <w:jc w:val="both"/>
        <w:rPr>
          <w:rFonts w:ascii="Times New Roman" w:hAnsi="Times New Roman" w:cs="Times New Roman"/>
          <w:strike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Е</w:t>
      </w:r>
      <w:r>
        <w:rPr>
          <w:rFonts w:ascii="Times New Roman" w:hAnsi="Times New Roman" w:cs="Times New Roman"/>
          <w:sz w:val="28"/>
          <w:highlight w:val="white"/>
        </w:rPr>
        <w:t xml:space="preserve">сли по итогам года отсутствуют медицинские организации, включенные в III группу, средства, предназначенные для осуществления стимулирующих выплат медицинским организациям III группы, распределяются между медицинскими организациями II группы в соответствии </w:t>
      </w:r>
      <w:r>
        <w:rPr>
          <w:rFonts w:ascii="Times New Roman" w:hAnsi="Times New Roman" w:cs="Times New Roman"/>
          <w:sz w:val="28"/>
          <w:highlight w:val="white"/>
        </w:rPr>
        <w:t xml:space="preserve">с установленной методикой (с учетом численности прикрепленного населения).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 Тарифы на оплату единиц объема медицинской помощи (медицинская услуга, посещение, обращение (законченный случай)), мероприятий, по диспансеризации и профилактическим осмотрам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отдельных категорий граждан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год: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3.1.5.1. Тарифы на оплату посещений, обращений:</w:t>
      </w:r>
      <w:r>
        <w:rPr>
          <w:highlight w:val="white"/>
        </w:rPr>
      </w:r>
      <w:r/>
    </w:p>
    <w:tbl>
      <w:tblPr>
        <w:tblW w:w="5147" w:type="pct"/>
        <w:tblLook w:val="04A0" w:firstRow="1" w:lastRow="0" w:firstColumn="1" w:lastColumn="0" w:noHBand="0" w:noVBand="1"/>
      </w:tblPr>
      <w:tblGrid>
        <w:gridCol w:w="2816"/>
        <w:gridCol w:w="1219"/>
        <w:gridCol w:w="1290"/>
        <w:gridCol w:w="1300"/>
        <w:gridCol w:w="1219"/>
        <w:gridCol w:w="1290"/>
        <w:gridCol w:w="1300"/>
      </w:tblGrid>
      <w:tr>
        <w:trPr>
          <w:trHeight w:val="51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Специальности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и 2 уровень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25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 уровень (кроме консультативного приема)</w:t>
            </w:r>
            <w:r>
              <w:rPr>
                <w:highlight w:val="white"/>
              </w:rPr>
            </w:r>
            <w:r/>
          </w:p>
        </w:tc>
      </w:tr>
      <w:tr>
        <w:trPr>
          <w:trHeight w:val="1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с иными целями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по неотложной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Обращение по поводу заболевания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с иными целями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по неотложной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Обращение по поводу заболевания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Взрослая сеть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Базовая программа ОМС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Терапия 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Кардиология*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Ревматология*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227,40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1 195,71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Гастроэнтерология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Аллергология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378,38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1 667,10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378,38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1 667,10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Неврология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236,93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1 172,71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236,93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1 172,71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Нефрология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Гериатрия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836,46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Инфекционные болезни*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299,83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299,83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Эндокринология*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410,88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1 747,58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410,88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1 747,58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Хирургия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Урология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172,16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758,81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172,16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758,81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Травматология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Акушерство-гинекология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278,79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1 782,06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278,79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1 782,06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Оториноларингология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165,81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1 149,72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165,81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1 149,72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Офтальмология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142,14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908,27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142,14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908,27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Колопроктология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1 080,75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Пульмонология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199,71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931,27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Дерматология*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171,56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1 218,70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171,56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1 218,70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Общая врачебная практика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219,68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920,11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1 024,39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219,68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920,11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1 024,39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Онкология*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175,75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819,53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193,32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901,47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Лечебная физкультура*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189,72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189,72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7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Посещение по неотложной медицинской помощи в приемном отделении без последующей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48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Медицинская помощь в травматологическом пункте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1 358,74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1 358,74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73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Медицинская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  <w:highlight w:val="white"/>
              </w:rPr>
              <w:t xml:space="preserve"> оказанная средним медицинским персоналом, ведущим самостоятельный амбулаторный прием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159,78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669,17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745,02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159,78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669,17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745,02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Сверх базовой программы ОМС 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Психиатрия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843,79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843,79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Наркология*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370,86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370,86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Психотерапия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456,10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456,10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Профпатология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425,43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425,43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Венерология*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447,17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1 158,29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447,17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1 158,29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Фтизиатрия*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686,25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686,25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5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*тарифы применяются независимо от возраста пациента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Детская сеть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Базовая программа ОМС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Педиатрия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1 266,09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1 266,09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Гастроэнтерология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Аллергология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397,29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1 750,45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397,29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1 750,45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Неврология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248,78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1 231,35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248,78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1 231,35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Нефрология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301,19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1 437,16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Хирургия     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Травматология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Акушерство-гинекология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292,73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1 871,18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292,73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1 871,18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Оториноларингология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174,11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174,11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1 207,21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Офтальмология      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149,25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953,68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149,25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953,68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Урология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223,41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1 134,78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Общая врачебная практика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230,68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969,66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1 075,63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230,68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969,66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1 075,63</w:t>
            </w:r>
            <w:r>
              <w:rPr>
                <w:highlight w:val="white"/>
              </w:rPr>
            </w:r>
            <w:r/>
          </w:p>
        </w:tc>
      </w:tr>
      <w:tr>
        <w:trPr>
          <w:trHeight w:val="7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Медицинская </w:t>
            </w: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помощь</w:t>
            </w: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 оказанная средним медицинским персоналом, ведущим самостоятельный амбулаторный прием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167,76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702,63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782,27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167,76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702,63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782,27</w:t>
            </w:r>
            <w:r>
              <w:rPr>
                <w:highlight w:val="white"/>
              </w:rPr>
            </w:r>
            <w:r/>
          </w:p>
        </w:tc>
      </w:tr>
      <w:tr>
        <w:trPr>
          <w:trHeight w:val="77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Посещение по неотложной медицинской помощи в приемном отделении без последующей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717,88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gridSpan w:val="7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Сверх базовой программы ОМС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Психиатрия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886,00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84" w:type="pct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886,00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18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23" w:type="pct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  <w:t xml:space="preserve">При оказании медицинской помощи мобильными медицинскими бригадами к тарифам применяется повышающий коэффициент 1,2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3.1.5.2. Тариф 1 УЕТ по стоматологии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108,37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3.1.5.2.1. 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 представлен в приложении № 8 к Тарифному соглашению. </w:t>
      </w:r>
      <w:r>
        <w:rPr>
          <w:highlight w:val="white"/>
        </w:rPr>
      </w:r>
      <w:r/>
    </w:p>
    <w:p>
      <w:pPr>
        <w:ind w:left="-284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 Тарифы на отдельные медицинские услуги: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3.1.5.3.1. Тарифы на отдельные медицинские услуги, применяемые при оплате амбулаторной медицинской помощи, в том числе для проведения межучрежденческих расчетов представлены в приложе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нии № 9 к 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3.1.5.3.2. 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входящих в расчет подушевых нормативов представлены в приложении № 10 к Тарифному соглашению. 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3.1.5.3.3. Тарифы на медицинские услуги по проведению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представлены в приложении № 11 к Тарифному соглашени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ю.</w:t>
      </w:r>
      <w:r>
        <w:rPr>
          <w:highlight w:val="white"/>
        </w:rPr>
      </w:r>
      <w:r/>
    </w:p>
    <w:p>
      <w:pPr>
        <w:ind w:right="40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3.1.5.3.4. Тарифы на медицинские услуги по проведению углубленной диспансеризации определенных гру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ослого населения гражданам, переболевшим новой коронавирусной инфекцией (COVID-19) представлены в приложении № 12 к Тарифному соглашению:</w:t>
      </w:r>
      <w:r>
        <w:rPr>
          <w:highlight w:val="white"/>
        </w:rPr>
      </w:r>
      <w:r/>
    </w:p>
    <w:p>
      <w:pPr>
        <w:ind w:right="40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3.1.5.3.5. 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 представлены в приложении № 13 к Тарифному соглашению.</w:t>
      </w:r>
      <w:r>
        <w:rPr>
          <w:highlight w:val="white"/>
        </w:rPr>
      </w:r>
      <w:r/>
    </w:p>
    <w:p>
      <w:pPr>
        <w:ind w:right="40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3.1.5.3.6. Тари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фы на медицинские услуги  по проведению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представлены в приложении № 14 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3.1.5.3.7. Тарифы на медицинские услуги по проведению профилактических медицинских осмотров несовершеннолетним представлены в приложении № 15 к 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3.1.5.3.8. Тарифы на  медицинские услуги по проведению профилактичес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ких медицинских осмотров взрослому населению представлены в приложении № 16 к Тарифному соглашению.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3.1.5.3.9. Тарифы на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медицинские услуги, оказываемые в центрах здоровья представлены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приложении № 17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3.1.6. Базовые нормативы фин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ансовых затрат на финансовое обеспечение структурных подразделений медицинских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организаций на 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фельдшерский, фельдшерско-акушерский пункт, обслуживающий от 100 до 900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1 174,2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рублей,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фельдшерский, фельдшерско-акушерский пункт, обслуживающий от 900 до 1500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1 860,3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рублей,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фельдшерский, фельдшерско-акушерский пункт, обслуживающий от 1500 до 2000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2 088,9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рублей.</w:t>
      </w:r>
      <w:r>
        <w:rPr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финансового обеспечения фельдшерских,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фельдшерско-акушерских пунктов обслуживающий до 100 жителей, согласно Методическим рекомендациям по способам оплаты, рассчитан с применением коэффициента уровня 0,21 к размеру финансового обеспечения фельдшерского, фельдшерско-акушерского пункта, обслужив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ающего от 100 до 900 жителей и составил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246,6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рублей.</w:t>
      </w:r>
      <w:r>
        <w:rPr>
          <w:highlight w:val="white"/>
        </w:rPr>
      </w:r>
      <w:r/>
    </w:p>
    <w:p>
      <w:pPr>
        <w:ind w:firstLine="540"/>
        <w:jc w:val="both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Финансирование фельдшерских, фельдшерско-акушерских пунктов, обслуживающих от 2000 и более жителей осуществляется по финансовому нормативу, установленному для фельдшерских, фельдшерско-акушерских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унктов, обслуживающих от 1500 до 2000 жителей,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2 088,9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тыс. рублей, коэффициент уровня равен 1,0.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Коэффициент специфики оказания медицинской помощи, применяемый к базовому нормативу финансовых затрат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на финансовое обеспечение структурных подразделений 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дицинской организации, учитывающий критерий соответствия их требованиям, установленным Приказом № 543н равен 1,00.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3.2. Тарифы на оплату медицинской помощи, оказанной в круглосуточных стационарах 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Средний размер финансового обеспечения стационарной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цо, определенный на основе нормативов объемов медицинской помощи и финансовых затрат на единицу объема медицинской помощи в круглосуточных стационарах, установленных Территориальной программой обязательного медицинского страхования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377,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3.2.2. Перечень клинико-статистических групп заболеваний, с указанием коэффициентов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затратоемкости КСГ представлен в приложении № 18 к Тарифному соглашению.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3.2.3. Размер средней стоимости законченного случая лечения, включенного в КСГ (базовая ставка по круглосуточным стационарам):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размер средней стоимости законченного случая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круглосуточному стационару установлен в сумме </w:t>
      </w:r>
      <w:r>
        <w:rPr>
          <w:rFonts w:ascii="Times New Roman" w:hAnsi="Times New Roman" w:cs="Times New Roman" w:eastAsia="Times New Roman"/>
          <w:sz w:val="27"/>
          <w:szCs w:val="27"/>
          <w:highlight w:val="white"/>
        </w:rPr>
        <w:t xml:space="preserve">25 986,79 руб.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 Поправочные коэффициенты оплаты КСГ.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3.2.4.1. Коэффициенты уровня (подуровня) оказания медицинской помощи в круглосуточных стационарах (КУС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МО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1020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>
        <w:trPr/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Уровень/Подуровень оказания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уровня/подуровня оказания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 уровень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98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 уровень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2.1.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2.2.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2.3.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988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 уровень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3.1.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1,10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3.2.</w:t>
            </w:r>
            <w:r>
              <w:rPr>
                <w:highlight w:val="white"/>
              </w:rPr>
            </w:r>
            <w:r/>
          </w:p>
        </w:tc>
        <w:tc>
          <w:tcPr>
            <w:tcW w:w="51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1,31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КСГ, при оплате по которым не применяется коэффициент уровня (подуровня) медицинской организации</w:t>
      </w:r>
      <w:r>
        <w:rPr>
          <w:highlight w:val="white"/>
        </w:rPr>
      </w:r>
      <w:r/>
    </w:p>
    <w:tbl>
      <w:tblPr>
        <w:tblW w:w="5000" w:type="pct"/>
        <w:tblLook w:val="04A0" w:firstRow="1" w:lastRow="0" w:firstColumn="1" w:lastColumn="0" w:noHBand="0" w:noVBand="1"/>
      </w:tblPr>
      <w:tblGrid>
        <w:gridCol w:w="1074"/>
        <w:gridCol w:w="9062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  <w:lang w:val="en-US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  <w:lang w:val="en-US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  <w:lang w:val="en-US"/>
              </w:rPr>
              <w:t xml:space="preserve">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Беременность без патологии, дородовая госпитализация в отделение сестринского ухода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Беременность, закончившаяся абортивным исходом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Послеродовой сепсис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женских половых органах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Ангионевротический отек, анафилактический шок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Язва желудка и двенадцатиперстной кишки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st09.010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кишечнике и анальной области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st15.005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Эпилепсия, судороги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st15.009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Дорсопатии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спондилопатии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остеопатии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Сотрясение головного мозга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периферической нервной системе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st16.011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перифер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ической нервной системе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Замена 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пищевода, гастрит, дуоденит, другие болезни желудка и двенадцатиперстной кишки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желчного пузыря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Гипертоническая болезнь в стадии обострения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Стенокардия (кроме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нестабильной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), хроническая ишемическая болезнь сердц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st27.010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Бронхит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необструктивный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симптомы и признаки, относящиеся к органам дыхания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st28.004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нижних дыхательных путях и легочной ткани, органах средостения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st28.005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нижних дыхательных путях и легочной ткани, органах средостения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 шейки бедра и костей таза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 бедренной кости, другие травмы области бедра и тазобедренного сустава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Переломы, вывихи, растяже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ния области грудной клетки, верхней конечности и стопы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Переломы, вывихи, растяжения области колена и голени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st29.013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предстательной железы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st30.015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взрослые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t31.002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эндокринных железах кроме гипофиза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эндокринных железах кроме гипофиза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Артрозы, другие поражения суставов, болезни мягких тканей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st31.018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Открытые раны, поверхностные, другие и неуточненные травмы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желчном пузыре и желчевыводящих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пищеводе, желудке, двенадцатиперстной кишке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Комплексное лечение с применением препаратов иммуноглобулина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Установка, замена, заправка помп для лекарственных препаратов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Реинфузия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аутокрови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Баллонная внутриаортальная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контрпульсация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Радиойодтерапия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st36.047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Медицинская реаб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илитация пациентов с заболеваниями центральной нервной системы (6 баллов по ШРМ)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Продолжительная медицинская реабилитация пациентов с заболеваниями центральной нервной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Продолжительная медицинская реабилитация пациентов с заболев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аниями опорно-двигательного аппарата и периферической нервной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st37.026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47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Продолжительная медицинская реабилитация пациентов с заболеваниями центральной нервной системы и с заболеваниями опо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рно-двигательного аппарата и периферической нервной системы (сестринский уход)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3.2.4.2. Коэффициенты сложности лечения пациента (КСЛП):</w:t>
      </w:r>
      <w:r>
        <w:rPr>
          <w:highlight w:val="white"/>
        </w:rPr>
      </w:r>
      <w:r/>
    </w:p>
    <w:tbl>
      <w:tblPr>
        <w:tblStyle w:val="1047"/>
        <w:tblW w:w="0" w:type="auto"/>
        <w:tblLook w:val="04A0" w:firstRow="1" w:lastRow="0" w:firstColumn="1" w:lastColumn="0" w:noHBand="0" w:noVBand="1"/>
      </w:tblPr>
      <w:tblGrid>
        <w:gridCol w:w="566"/>
        <w:gridCol w:w="7622"/>
        <w:gridCol w:w="1843"/>
      </w:tblGrid>
      <w:tr>
        <w:trPr>
          <w:trHeight w:val="679"/>
          <w:tblHeader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Случаи, для которых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установлен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 КСЛП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Значение КСЛП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предоставление спального места и питания законному представителю несовершеннолетних (дети до 4 лет, дети старше 4 лет при наличии медицинских показаний), за исключением случаев, к которым применяется КСЛП, предусмотренный пунктом 2 настоящего перечня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предоставление спального места и питания законному представителю несовершеннолетних (детей до 4 лет, детей старше 4 лет при наличии медицинских показаний), получающих медицинскую помощь по профилю «Детская онкология» и (или) «Гематология»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оказание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 медицинской помощи пациенту в возрасте старше 75 лет в случае проведения консультации врача-гериатра и за исключением случаев госпитализации на геронтологические профильные койки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0,2</w:t>
            </w:r>
            <w:r>
              <w:rPr>
                <w:highlight w:val="white"/>
              </w:rPr>
            </w:r>
            <w:r/>
          </w:p>
        </w:tc>
      </w:tr>
      <w:tr>
        <w:trPr>
          <w:trHeight w:val="469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vAlign w:val="center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развертывание индивидуального поста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наличие у пациента тяжелой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 сопутствующей патологии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  <w:vertAlign w:val="superscript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, требующей оказания медицинской помощи в период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сочетанных хирургических вмешательств или проведение однотипных операций на парных органах (уровень 1)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 сочетанных хирургических вмешательств или проведение однотипных операций на парных органах (уровень 2)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0,47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сочетанных хирургических вмешательств или проведение однотипных операций на парных органах (уровень 3)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1,16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</w:t>
            </w: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ных хирургических вмешательств или проведение однотипных операций на парных органах (уровень 4)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2,07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проведение сочетанных хирургических вмешательств или проведение однотипных операций на парных органах (уровень 5)</w:t>
            </w:r>
            <w:r>
              <w:rPr>
                <w:rFonts w:ascii="Times New Roman" w:hAnsi="Times New Roman"/>
                <w:color w:val="000000" w:themeColor="text1"/>
                <w:sz w:val="24"/>
                <w:highlight w:val="white"/>
                <w:vertAlign w:val="superscript"/>
              </w:rPr>
              <w:t xml:space="preserve"> 2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highlight w:val="white"/>
              </w:rPr>
              <w:t xml:space="preserve">3,49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1 этапа медицинской реабилитации пациентов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  <w:vertAlign w:val="superscript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0,15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сопроводительной лекарственной терапии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при злокачественных новообразованиях у взрослых в стационарных условиях в соответствии с клиническими рекомендациями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*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0,63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тестирования на выявление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респираторных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 вирусных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заболеваний (грипп, COVID-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19) в период госпитализации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0,05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highlight w:val="white"/>
          <w:vertAlign w:val="superscript"/>
        </w:rPr>
        <w:t xml:space="preserve">1 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– наличие у пациента дополнительного диагноза (диагноза осложнения заболевания) из перечня, определенного Приложением №1 </w:t>
      </w:r>
      <w:r>
        <w:rPr>
          <w:rFonts w:ascii="Times New Roman" w:hAnsi="Times New Roman"/>
          <w:sz w:val="24"/>
          <w:highlight w:val="white"/>
        </w:rPr>
        <w:t xml:space="preserve">к</w:t>
      </w:r>
      <w:r>
        <w:rPr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 xml:space="preserve">Методическим рекомендациям по способам оплаты медицинской помощи за счет средств обязательного ме</w:t>
      </w:r>
      <w:r>
        <w:rPr>
          <w:rFonts w:ascii="Times New Roman" w:hAnsi="Times New Roman"/>
          <w:sz w:val="24"/>
          <w:highlight w:val="white"/>
        </w:rPr>
        <w:t xml:space="preserve">дицинского страхования,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медицинская помощь в соответствии с которым оказывалась пациенту в период госпитализации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highlight w:val="white"/>
          <w:vertAlign w:val="superscript"/>
        </w:rPr>
        <w:t xml:space="preserve">2</w:t>
      </w:r>
      <w:r>
        <w:rPr>
          <w:rFonts w:ascii="Times New Roman" w:hAnsi="Times New Roman"/>
          <w:color w:val="000000" w:themeColor="text1"/>
          <w:sz w:val="24"/>
          <w:highlight w:val="white"/>
        </w:rPr>
        <w:t xml:space="preserve"> – перечень возможных операций, а также критерии отнесения соответствующих операций к уровню КСЛП определен настоящим Приложением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vertAlign w:val="superscript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при проведении реабилитационных мероприятий при нахождении пациента на реанимационной койке и/или койке интенсивной терапии, начавшихся не позднее 48 часов от поступления в отделение реанимации или на койку интенсивной терапии с общей длительностью реаб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илитационных мероприятий не менее 5-ти суток, включая период после перевода на профильные койки по окончании реанимационных мероприятий, при обязательной продолжительности реабилитационных мероприятий не менее одного часа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сутки (при условии организации о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тделения ранней медицинской реабилитации на не менее чем 12 коек отделения, оказывающего медицинскую помощь по профилю «анестезиология и реанимация», и его укомплектования в соответствии с порядком оказания медицинской помощи по медицинской реабилитации)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*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стоимость КСЛП «проведение сопроводительной лекарственной терапии при злокачественных новообразованиях у взрослых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соответствии с клиническими рекомендациями» в стационарных условиях и в условиях дневного стационара определяется без учета коэффициента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дифференциации субъекта Российской Федерации.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В случае</w:t>
      </w:r>
      <w:r>
        <w:rPr>
          <w:rFonts w:ascii="Times New Roman" w:hAnsi="Times New Roman" w:cs="Times New Roman"/>
          <w:sz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highlight w:val="white"/>
        </w:rPr>
        <w:t xml:space="preserve"> если в рамках одной госпитализации возможно применение нескольких КСЛП, итоговое значение КСЛП рассчитывается путем суммирования соответствующих КСЛП.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r>
        <w:rPr>
          <w:rFonts w:ascii="Times New Roman" w:hAnsi="Times New Roman" w:cs="Times New Roman"/>
          <w:sz w:val="28"/>
          <w:highlight w:val="white"/>
        </w:rPr>
        <w:t xml:space="preserve">равным</w:t>
      </w:r>
      <w:r>
        <w:rPr>
          <w:rFonts w:ascii="Times New Roman" w:hAnsi="Times New Roman" w:cs="Times New Roman"/>
          <w:sz w:val="28"/>
          <w:highlight w:val="white"/>
        </w:rPr>
        <w:t xml:space="preserve"> 0.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применения КСЛП определен приложением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етодическим рекомендациям Министерства здравоохранения Российско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>
        <w:rPr>
          <w:rFonts w:ascii="Times New Roman" w:hAnsi="Times New Roman" w:cs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3.2.4.3. Коэффициенты специфики (КС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КСГ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tbl>
      <w:tblPr>
        <w:tblStyle w:val="1029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45"/>
        <w:gridCol w:w="2302"/>
      </w:tblGrid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КСГ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Наименование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специфики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st07.001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Врожденные аномалии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системы,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мужских половых органах, дети (уровень 4)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st09.005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st09.006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еме,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st09.007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st09.008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4)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st09.009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5)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st09.010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на почке и мочевыделительной системе, дети (уровень 6)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Детская хирургия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Детская хирургия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st10.005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по поводу грыж,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st10.006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по поводу грыж,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st10.007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Операции по поводу грыж, дети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Сахарный диабет,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Заболевания гипофиза,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эндокринной системы, дети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st11.004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эндокринной системы, дети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st22.002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органов пищеварения,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st22.003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Воспалительные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артропатии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спондилопатии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st22.004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Врожденные аномалии головного и спинного мозга,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st23.006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Астма, дети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1,4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st27.003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Болезни желчного пузыря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st27.004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органов пищеварения, взрослые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st27.005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Гипертоническая болезнь в стадии обострения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st27.006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Стенокардия (кроме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нестабильной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), хроническая ишемическая болезнь сердца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st27.008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Другие болезни сердца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st27.010 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Бронхит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необструктивный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симптомы и признаки, относящиеся к органам дыхания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0,95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3.2.4.4. Коэффициент приведения среднего норматива финансовых затрат на 1 случай лечения в круглосуточном стационаре к базовой ставке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(КП) установлен в размере 0,65046.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3.2.5. Расчет стоимости 1 случая лечения заболевания в круглосуточном стационаре.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4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круглосуточном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(за исключением КСГ,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расходов), определяется по следующей формуле: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m:oMath>
        <m:r>
          <w:rPr>
            <w:rFonts w:ascii="Cambria Math" w:hAnsi="Cambria Math" w:cs="Cambria Math" w:eastAsia="Cambria Math" w:hint="default"/>
            <w:color w:val="000000" w:themeColor="text1"/>
            <w:sz w:val="32"/>
            <w:lang w:eastAsia="ru-RU"/>
          </w:rPr>
          <m:rPr>
            <m:sty m:val="i"/>
          </m:rPr>
          <m:t>      </m:t>
        </m:r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32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СС</m:t>
            </m:r>
          </m:e>
          <m:sub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КСГ</m:t>
            </m:r>
          </m:sub>
        </m:sSub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=БС×КД×</m:t>
        </m:r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32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КЗ</m:t>
            </m:r>
          </m:e>
          <m:sub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КСГ</m:t>
            </m:r>
          </m:sub>
        </m:sSub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×</m:t>
        </m:r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29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>
                <m:sty m:val="p"/>
              </m:rPr>
              <m:t>КС</m:t>
            </m:r>
          </m:e>
          <m:sub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/>
              <m:t>КСГ</m:t>
            </m:r>
          </m:sub>
        </m:sSub>
        <m:r>
          <w:rPr>
            <w:rFonts w:ascii="Cambria Math" w:hAnsi="Cambria Math" w:cs="Calibri"/>
            <w:color w:val="000000" w:themeColor="text1"/>
            <w:sz w:val="29"/>
            <w:szCs w:val="20"/>
            <w:lang w:eastAsia="ru-RU"/>
          </w:rPr>
          <m:rPr/>
          <m:t>×</m:t>
        </m:r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29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/>
              <m:t>КУС</m:t>
            </m:r>
          </m:e>
          <m:sub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/>
              <m:t>МО</m:t>
            </m:r>
          </m:sub>
        </m:sSub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+БС×</m:t>
        </m:r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КД</m:t>
        </m:r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×КСЛП</m:t>
        </m:r>
      </m:oMath>
      <w:r>
        <w:rPr>
          <w:rFonts w:ascii="Times New Roman" w:hAnsi="Times New Roman" w:cs="Times New Roman"/>
          <w:sz w:val="28"/>
          <w:highlight w:val="white"/>
        </w:rPr>
        <w:t xml:space="preserve">, где:</w:t>
      </w:r>
      <w:r/>
      <w:r>
        <w:rPr>
          <w:rFonts w:ascii="Times New Roman" w:hAnsi="Times New Roman" w:cs="Times New Roman"/>
          <w:sz w:val="28"/>
          <w:highlight w:val="white"/>
        </w:rPr>
      </w:r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БС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48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базовая ставка,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КСГ, к которой отнесен данный случай госпитализации;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sz w:val="29"/>
                <w:szCs w:val="29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й КСГ);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круглосуточном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расходов, определяется по следующей формуле:</w:t>
      </w:r>
      <w:r>
        <w:rPr>
          <w:highlight w:val="white"/>
        </w:rPr>
      </w:r>
      <w:r/>
    </w:p>
    <w:p>
      <w:pPr>
        <w:pStyle w:val="1044"/>
        <w:ind w:right="-143"/>
        <w:jc w:val="center"/>
        <w:tabs>
          <w:tab w:val="left" w:pos="567" w:leader="none"/>
          <w:tab w:val="right" w:pos="9498" w:leader="none"/>
        </w:tabs>
        <w:rPr>
          <w:rFonts w:ascii="Times New Roman" w:hAnsi="Times New Roman" w:cs="Times New Roman"/>
          <w:sz w:val="32"/>
          <w:highlight w:val="white"/>
        </w:rPr>
      </w:pPr>
      <w:r>
        <w:rPr>
          <w:highlight w:val="white"/>
        </w:rPr>
      </w:r>
      <m:oMathPara>
        <m:oMathParaPr/>
        <m:oMath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=БС×</m:t>
          </m:r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×</m:t>
          </m:r>
          <m:d>
            <m:d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dPr>
            <m:e>
              <m:d>
                <m:dPr>
                  <m:ctrlPr>
                    <w:rPr>
                      <w:rFonts w:ascii="Cambria Math" w:hAnsi="Cambria Math" w:cs="Cambria Math" w:eastAsia="Cambria Math"/>
                      <w:i/>
                      <w:sz w:val="28"/>
                      <w:szCs w:val="24"/>
                      <w:highlight w:val="whit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1-</m:t>
                  </m:r>
                  <m:sSub>
                    <m:sSubPr>
                      <m:ctrlPr>
                        <w:rPr>
                          <w:rFonts w:ascii="Cambria Math" w:hAnsi="Cambria Math" w:cs="Cambria Math" w:eastAsia="Cambria Math"/>
                          <w:i/>
                          <w:sz w:val="28"/>
                          <w:szCs w:val="24"/>
                          <w:highlight w:val="whit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 +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8"/>
                      <w:szCs w:val="24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Д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8"/>
                      <w:szCs w:val="24"/>
                      <w:highlight w:val="white"/>
                      <w:lang w:eastAsia="en-US"/>
                    </w:rPr>
                    <m:rPr/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>
                      <m:sty m:val="p"/>
                    </m:rPr>
                    <m:t>КС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КСГ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КУС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МО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×КД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+ БС×КД×КСЛП</m:t>
          </m:r>
        </m:oMath>
      </m:oMathPara>
      <w:r>
        <w:rPr>
          <w:highlight w:val="white"/>
        </w:rPr>
        <w:br/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sz w:val="32"/>
          <w:highlight w:val="white"/>
        </w:rPr>
        <w:t xml:space="preserve">где: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510"/>
        <w:gridCol w:w="2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размер базовой ставки без учета коэффициента дифференциации,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по КСГ, к которой отнесен данный случай госпитализации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32"/>
                        <w:szCs w:val="28"/>
                        <w:highlight w:val="whit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ЗП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доля заработной платы и прочих расходов в структуре стоимости КСГ установленная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29.12.2022 № 2497 «О Программе государственных гарантий бесплатного оказания гражданам медицинской помощи на 2023 го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 и на плановый период 2024 и 2025 годов»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(приводится далее);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sz w:val="29"/>
                <w:szCs w:val="29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данной КСГ);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highlight w:val="white"/>
              </w:rPr>
            </w:r>
            <m:oMathPara>
              <m:oMathParaPr/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КСЛП).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Доля заработной платы и прочих расходов в структуре стоимости КСГ, </w:t>
      </w:r>
      <w:r>
        <w:rPr>
          <w:rFonts w:ascii="Times New Roman" w:hAnsi="Times New Roman" w:cs="Times New Roman"/>
          <w:sz w:val="28"/>
          <w:highlight w:val="white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год и на плановый период 2024 и 2025 годов»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представлена в таблице:</w:t>
      </w:r>
      <w:r>
        <w:rPr>
          <w:highlight w:val="white"/>
        </w:rPr>
      </w:r>
      <w:r/>
    </w:p>
    <w:tbl>
      <w:tblPr>
        <w:tblW w:w="9985" w:type="dxa"/>
        <w:tblInd w:w="93" w:type="dxa"/>
        <w:tblLook w:val="04A0" w:firstRow="1" w:lastRow="0" w:firstColumn="1" w:lastColumn="0" w:noHBand="0" w:noVBand="1"/>
      </w:tblPr>
      <w:tblGrid>
        <w:gridCol w:w="968"/>
        <w:gridCol w:w="8122"/>
        <w:gridCol w:w="895"/>
      </w:tblGrid>
      <w:tr>
        <w:trPr>
          <w:trHeight w:val="59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Наименование КС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Доля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Дзп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Слинговые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операции при недержании мочи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30,45%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97,47%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терапии, физиотерапии,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плазмафереза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98,49%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и системной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99,04%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дерматозов с применением наружной терапии и фототерапии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98,00%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91,12%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61,30%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63,24%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Коронавирусная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инфекция COVID-19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77,63%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Прочие операции при ЗНО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28,13%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Прочие операции при ЗНО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39,56%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87,08%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88,84%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87,05%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88,49%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46,03%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26,76%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79,86%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79,86%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79,86%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32,82%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52,81%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62,16%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6,34%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19,39%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29,64%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Посттрансплантационный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период после пересадки костного мозга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62,44%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57,99%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37,81%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20,99%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29,00%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ней),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25,84%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8,65%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9,64%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8,30%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5,81%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6,36%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3,72%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2,34%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2,11%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1,59%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ней), взрослые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1,25%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0,99%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0,75%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0,56%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0,74%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14,38%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27,22%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антимикробной терапии инфекций, вызванных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полирезистентными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микроорганизмами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антимикробной терапии инфекций, вызванных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полирезистентными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микроорганизмами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антимикробной терапии инфекций, вызванных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полирезистентными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микроорганизмами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Радиойодтерапия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70,66%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5,85%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4,58%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34,50%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73,21%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55,98%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46,89%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35,90%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28,65%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21,07%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17,05%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14,57%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11,77%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10,39%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8,43%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6,21%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4,29%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3,46%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2,78%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1,84%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0,92%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0,85%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5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98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196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91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0,21%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9"/>
        <w:jc w:val="both"/>
        <w:rPr>
          <w:rFonts w:ascii="Times New Roman" w:hAnsi="Times New Roman" w:cs="Times New Roman" w:eastAsia="Times New Roman"/>
          <w:sz w:val="16"/>
          <w:szCs w:val="16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3.2.6. Тарифы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оплату законченных случаев лечения заболеваний в стационарных условиях с применением методов высокотехнологичной медицинской помощи в соответствии с приложением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№ 1 к Постановлению Правительства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29.12.2022 № 2497 «О программе гос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ударственных гарантий бесплатного оказания гражданам медицинской помощи на 2023 год и последующий период 2024 и 2025 годов»:</w:t>
      </w:r>
      <w:r>
        <w:rPr>
          <w:highlight w:val="white"/>
        </w:rPr>
      </w:r>
      <w:r/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3974"/>
        <w:gridCol w:w="1701"/>
        <w:gridCol w:w="2268"/>
        <w:gridCol w:w="1985"/>
      </w:tblGrid>
      <w:tr>
        <w:trPr>
          <w:trHeight w:val="130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Наименование профиля ВМП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№ группы ВМП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Норматив финансовых затрат, руб.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Доля заработной платы в составе норматива фина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нсовых затрат, % 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Акушерство и гинекология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149 270,00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Акушерство и гинекология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226 663,00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Гастроэнтерология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155 640,00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174 719,00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Гематология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514 006,00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Детская хирургия в период новорожденности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305 847,00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Дерматовенерология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118 255,00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Комбустиология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623 703,00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Комбустиология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1 827 887,00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188 927,00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289 032,00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185 045,00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265 852,00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342 474,00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Нейрохирургия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461 361,00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Неонатология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290 737,00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Неонатология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590 590,00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220 860,00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116 510,00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157 802,00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449 414,00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83 834,00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189 795,00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Онкология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252 718,00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Оториноларингология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132 398,00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Оториноларингология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78 623,00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Оториноларингология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150 466,00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Офтальмология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70 775,00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Офтальмология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102 860,00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Офтальмология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101 569,00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97 040,00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200 897,00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115 261,00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199 272,00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Педиатрия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198 387,00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Ревматология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154 450,00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185 214,00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214 756,00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244 136,00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137 762,00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167 354,00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209 573,00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129 747,00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154 258,00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191 926,00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273 416,00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298 371,00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327 854,00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162 154,00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302 578,00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240 444,00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770 187,00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415 101,00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Торакальная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167 250,00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Торакальная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291 572,00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156 563,00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319 018,00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185 111,00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245 582,00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Травматология и ортопедия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396 727,00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Урология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110 511,00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Урология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162 790,00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193 718,00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208 916,00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Челюстно-лицевая хирургия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144 051,00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Эндокринология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216 961,00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7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Эндокринология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119 595,00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32%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3.2.7. Тариф 1 услуги по проведению гемодиализа (базовый тариф на оплату гемодиализа), код A18.05.002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6424,92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руб.;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тариф 1 услуги по проведению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 (базовый тариф на оплату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диализа), код A18.30.001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5075,69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на медицинские услуги по проведению гемодиализа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перитонеального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диализа:</w:t>
      </w:r>
      <w:r>
        <w:rPr>
          <w:highlight w:val="white"/>
        </w:rPr>
      </w:r>
      <w:r/>
    </w:p>
    <w:tbl>
      <w:tblPr>
        <w:tblW w:w="96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674"/>
        <w:gridCol w:w="2126"/>
        <w:gridCol w:w="1417"/>
        <w:gridCol w:w="1134"/>
        <w:gridCol w:w="1701"/>
        <w:gridCol w:w="1138"/>
      </w:tblGrid>
      <w:tr>
        <w:trPr>
          <w:jc w:val="center"/>
          <w:trHeight w:val="20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Код услуги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Наименование услуги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Условия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оказания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Единица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оплаты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Коэффициент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относительной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затратоемкости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b/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Тариф, </w:t>
            </w:r>
            <w:r>
              <w:rPr>
                <w:b/>
                <w:color w:val="000000" w:themeColor="text1"/>
                <w:sz w:val="22"/>
                <w:highlight w:val="white"/>
              </w:rPr>
              <w:t xml:space="preserve">руб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307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Услуги гемодиализа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6 424,92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интермиттирующий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низкопоточный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6 424,92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интермиттирующий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высокопоточный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6 746,17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Гемодиафильтрация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6 938,91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8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Ультрафильтрация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крови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0,92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5 910,93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9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интермиттирующий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продленный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2,76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17 732,78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557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крови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2,88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18 503,77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Ультрафильтрация продленная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2,51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16 126,55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А18.05.011.001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продленная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szCs w:val="24"/>
                <w:highlight w:val="white"/>
              </w:rPr>
              <w:t xml:space="preserve">услуга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3,01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19 339,01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А18.05.002.005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Гемодиализ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продолжительный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сутки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5,23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2"/>
                <w:highlight w:val="white"/>
              </w:rPr>
              <w:t xml:space="preserve">33 602,33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0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А18.05.003.002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крови </w:t>
            </w:r>
            <w:r>
              <w:rPr>
                <w:color w:val="000000" w:themeColor="text1"/>
                <w:sz w:val="22"/>
                <w:highlight w:val="white"/>
              </w:rPr>
              <w:t xml:space="preserve">продолжительная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сутки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5,48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35 208,56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70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А18.05.011.002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Гемодиафильтрация</w:t>
            </w:r>
            <w:r>
              <w:rPr>
                <w:color w:val="000000" w:themeColor="text1"/>
                <w:sz w:val="22"/>
                <w:highlight w:val="white"/>
              </w:rPr>
              <w:t xml:space="preserve"> продолжительная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сутки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5,73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36 814,79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350"/>
        </w:trPr>
        <w:tc>
          <w:tcPr>
            <w:gridSpan w:val="7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7" w:type="dxa"/>
            <w:vAlign w:val="center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b/>
                <w:color w:val="000000" w:themeColor="text1"/>
                <w:sz w:val="22"/>
                <w:highlight w:val="white"/>
              </w:rPr>
              <w:t xml:space="preserve">Услуги </w:t>
            </w:r>
            <w:r>
              <w:rPr>
                <w:b/>
                <w:color w:val="000000" w:themeColor="text1"/>
                <w:sz w:val="22"/>
                <w:highlight w:val="white"/>
              </w:rPr>
              <w:t xml:space="preserve">перитонеального</w:t>
            </w:r>
            <w:r>
              <w:rPr>
                <w:b/>
                <w:color w:val="000000" w:themeColor="text1"/>
                <w:sz w:val="22"/>
                <w:highlight w:val="white"/>
              </w:rPr>
              <w:t xml:space="preserve"> диализа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диализ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5 075,69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69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color w:val="000000" w:themeColor="text1"/>
                <w:sz w:val="22"/>
                <w:highlight w:val="white"/>
              </w:rPr>
              <w:t xml:space="preserve"> диализ проточный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4,92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24 972,39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color w:val="000000" w:themeColor="text1"/>
                <w:sz w:val="22"/>
                <w:highlight w:val="white"/>
              </w:rPr>
              <w:t xml:space="preserve"> диализ с использованием автоматизированных технологий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6 293,86</w:t>
            </w:r>
            <w:r>
              <w:rPr>
                <w:highlight w:val="white"/>
              </w:rPr>
            </w:r>
            <w:r/>
          </w:p>
        </w:tc>
      </w:tr>
      <w:tr>
        <w:trPr>
          <w:jc w:val="center"/>
          <w:trHeight w:val="2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7" w:type="dxa"/>
            <w:textDirection w:val="lrTb"/>
            <w:noWrap w:val="false"/>
          </w:tcPr>
          <w:p>
            <w:pPr>
              <w:pStyle w:val="1101"/>
              <w:ind w:right="60"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674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А18.30.001.003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101"/>
              <w:ind w:firstLine="0"/>
              <w:jc w:val="left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Перитонеальный</w:t>
            </w:r>
            <w:r>
              <w:rPr>
                <w:color w:val="000000" w:themeColor="text1"/>
                <w:sz w:val="22"/>
                <w:highlight w:val="white"/>
              </w:rPr>
              <w:t xml:space="preserve"> диализ при нарушении ультрафильтрации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стационарно,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дневной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стационар,</w:t>
            </w:r>
            <w:r>
              <w:rPr>
                <w:highlight w:val="white"/>
              </w:rPr>
            </w:r>
            <w:r/>
          </w:p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амбулаторно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день обмена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shd w:val="clear" w:color="auto" w:fill="auto"/>
              <w:tabs>
                <w:tab w:val="left" w:pos="426" w:leader="none"/>
              </w:tabs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1,09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8" w:type="dxa"/>
            <w:textDirection w:val="lrTb"/>
            <w:noWrap w:val="false"/>
          </w:tcPr>
          <w:p>
            <w:pPr>
              <w:pStyle w:val="1101"/>
              <w:ind w:firstLine="0"/>
              <w:jc w:val="center"/>
              <w:rPr>
                <w:color w:val="000000"/>
                <w:sz w:val="22"/>
                <w:highlight w:val="white"/>
              </w:rPr>
            </w:pPr>
            <w:r>
              <w:rPr>
                <w:color w:val="000000" w:themeColor="text1"/>
                <w:sz w:val="22"/>
                <w:highlight w:val="white"/>
              </w:rPr>
              <w:t xml:space="preserve">5 532,50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3.2.8. Порядок оплаты прерванных случаев оказания медицинской помощи.</w:t>
      </w:r>
      <w:r>
        <w:rPr>
          <w:highlight w:val="white"/>
        </w:rPr>
      </w:r>
      <w:r/>
    </w:p>
    <w:p>
      <w:pPr>
        <w:ind w:right="-57" w:firstLine="709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год и последующий период 2024 и 2025 годов» к прерванным случаям относят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ся: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 случаи прерывания лечения по медицинским показаниям;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 случаи лечения при переводе пациента из одного отделения медицинской организации в другое;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 случаи изменения условий оказания медицинской помощи (перевода пациента из стационарных условий в 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словия дневного стационара);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4. случаи перевода пациента в другую медицинскую организацию;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 случаи лечения при преждевременной выписке пациента из медицинской организации,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обусловленной его письменным отказом от дальнейшего лечения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6. случаи лечения, закончившиеся летальным исходом;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8. законченные случаи 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ечения (не являющиеся прерванными по основаниям 1-7) длительностью 3 дня и менее по КСГ, не включенным в перечень КСГ, для которых оптимальным сроком лечения является период менее 3 дней включительно;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9.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случаи медицинской реабилитации по КСГ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37.002,</w:t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7.003,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37.006,</w:t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37.007,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37.024,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lang w:val="en-US"/>
        </w:rPr>
        <w:t xml:space="preserve">st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37.025, st37.026 с длительностью лечения менее количества дней, определенных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Постановлением Правительства Российской Федерации от 29.12.2022 № 2497 «О программе государственных гарантий бесплатного оказания гражданам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медицинской помощи на 2023 год и последующий период 2024 и 2025 годов»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и приложением 6 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методическим рекомендации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способам оплаты медицинской помощи за счет средств обязательного медицинского страхования.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случае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если перевод пациента из одного отдел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ения медицинской организации в другое обусловлен возникновением (наличием) нового заболевания или состояния, относящегося к тому же классу МКБ-10,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что и диагноз основного заболевания, и (или) являющегося следствием закономерного прогрессирования основного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случая лечения по КСГ с наибольшим размером оплаты, а отнесе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ние такого случая к прерванным по основанию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перевода пациента из одного отделения медицинской организации в другое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не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случаев лечения, подлежащих оплате по 2 КСГ, случай до перевода не может считаться прерванным по основаниям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прерв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анности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2-4, если он подлежит оплате по 2 КСГ по следующим основаниям: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медицинской реабилитации пациента после завершения лечения в той же медицинской организации по поводу заболевания,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по которому осуществлялось лечение;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оказание медицинск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ой помощи, связанной с установкой, заменой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порт-системы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этапное хирургическое лечение при злокачественных новообразованиях, не предусматривающее выписку пациента из стационара;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реинфузии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аутокрови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баллонной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внутриаортальной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контрпульсации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или экстракорпоральной мембранной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оксигенации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 фоне леч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ения основного заболевания;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дородовая госпитализация пациентки в отделение патологии беременности в случае пребывания в отделении патологии беременности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течение 6 дней и более с последующим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родоразрешением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наличие у пациента тяжелой сопутствующей 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атологии, требующей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ходе оказания медицинской помощи в период госпитализации имплантации в организм пациента медицинского изделия;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иммунизации против респираторно-синцитиальной вирусной инфекции в период госпитализации по поводу лечения нар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ушений, возникающих в перинатальном периоде, являющихся показанием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к иммунизации;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антимикробной терапии инфекций, вызванных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полирезистентными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микроорганизмами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en-US"/>
        </w:rPr>
        <w:t xml:space="preserve">Перечень КСГ с оптимальной длительностью лечения до 3 дней включительно:</w:t>
      </w:r>
      <w:r>
        <w:rPr>
          <w:highlight w:val="white"/>
        </w:rPr>
      </w:r>
      <w:r/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1149"/>
        <w:gridCol w:w="8894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Осложнения, связанные с беременностью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Беременность, закончившаяся абортивным исходом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Родоразрешение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Кесарево сечение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женских половых органах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женских половых органах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Ангионевротический отек, анафилактический шок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доброкачественных заболеваниях крови и пузырном заносе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st08.001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остром лейкозе,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st08.003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других злокачественных новообразования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х лимфоидной и кроветворной тканей,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Респираторные инфекции верхних дыхательных путей с осложнениями, взрослые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Респираторные инфекции верхних дыхательных путей,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кишечнике и анальной области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st15.009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Сотрясение головного мозга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при злокачественных новообразованиях почки и мочевыделительной системы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st19.082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 без специального противоопухолевого лечения (уровень 1) &lt;***&gt;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чественных новообразованиях (кроме лимфоидной и кроветворной тканей),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t19.129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st19.143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st25.004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st27.012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Отравления и другие воздействия внешних причин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льной системе,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st30.014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st31.017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Доброкачественные новообразования, новообразования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in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situ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кожи, жировой ткани и другие болезни кожи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st32.016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Комплексное лечение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применением препаратов иммуноглобулина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Установка, замена, заправка помп для лекарственных препаратов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Реинфузия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аутокрови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Баллонная внутриаортальная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контрпульсация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Радиойодтерапия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st36.039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st36.047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</w:tr>
    </w:tbl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&lt;*&gt; При условии соблюдения режима введения лекарственных 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препаратов согласно инструкциям по применению лекарственных препаратов для медицинского применения.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Законченный случай оказания медицинской помощи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по данным КСГ не может быть отнесен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 прерванным случаям по основаниям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связанным с длительностью лечения,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 оплачивается в полном объеме независимо от длительности лечения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. При этом в случае наличия оснований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прерванности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не связанных с длительностью лечения, случай оказания медицинской помощи оплачивается как прерванный на общих основаниях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Размеры оплаты 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лучаев оказания медицинской помощи, являющихся прерванными, определяется следующим образом.</w:t>
      </w:r>
      <w:r>
        <w:rPr>
          <w:highlight w:val="white"/>
        </w:rPr>
      </w:r>
      <w:r/>
    </w:p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если пациенту была выполнена хирургическая операция и (или) проведена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терапия, являющиеся классификационными критериями отнесения данных случаев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конкретным КСГ,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87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3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ня и менее – 80% от стоимости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68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90% от стоимости КСГ.</w:t>
      </w:r>
      <w:r>
        <w:rPr>
          <w:highlight w:val="white"/>
        </w:rPr>
      </w:r>
      <w:r/>
    </w:p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хирургическое лечение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 не проводились,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87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3 дня и менее – 50% от 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6" w:firstLine="540"/>
        <w:jc w:val="both"/>
        <w:widowControl w:val="off"/>
        <w:tabs>
          <w:tab w:val="left" w:pos="1268" w:leader="none"/>
          <w:tab w:val="left" w:pos="9920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80% от стоимости КСГ.</w:t>
      </w:r>
      <w:r>
        <w:rPr>
          <w:highlight w:val="white"/>
        </w:rPr>
      </w:r>
      <w:r/>
    </w:p>
    <w:p>
      <w:pPr>
        <w:ind w:left="562" w:right="-6"/>
        <w:jc w:val="both"/>
        <w:widowControl w:val="off"/>
        <w:tabs>
          <w:tab w:val="left" w:pos="1268" w:leader="none"/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Перечень КСГ,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которые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предполагают хирургическое лечение или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тромболитическую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терапию</w:t>
      </w:r>
      <w:r>
        <w:rPr>
          <w:highlight w:val="white"/>
        </w:rPr>
      </w:r>
      <w:r/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968"/>
        <w:gridCol w:w="9043"/>
      </w:tblGrid>
      <w:tr>
        <w:trPr>
          <w:trHeight w:val="58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Наименование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Родоразрешение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Кесарево сечение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Слинговые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операции при недержании мочи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ских половых органах,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дети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st09.010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ной системе, дети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Детская хирургия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Детская хирургия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дети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дети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st10.007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дети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Нестабильная стенокардия, инфаркт миокарда, легочная эмболия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Нарушения ритма и проводимости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Эндокардит, миокардит, перикардит,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кардиомиопатии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миокарда, легочная эмболия, лечение с применением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терапии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миокарда, легочная эмболия, лечение с применением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тера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пии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st13.010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миокарда, легочная эмболия, лечение с применением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терапии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st14.003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st15.015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мозга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st15.016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Инфаркт мозга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центральной нервной системе и головном мозге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центральной нервной системе и головном мозге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периферической нервной системе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периферической нервной системе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периферической нервной системе (уро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Формирование, имплантация, реконструкция, удаление, смена доступа для диализа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при злокачественных новообразованиях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при злокачественных новообразованиях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женских половых органах при злокачественных новообразованиях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при злокачественных новоо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бразованиях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кишечнике и анальной области при злокачественных новообразованиях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почки и мочевыделительной системы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ственных новообразованиях почки и мочевыделительной системы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почки и мочевыделительной системы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кожи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щитовидной железы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щитовидной железы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Мастэктомия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другие операции при злокачественном новообразовании молочной железы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Мастэктомия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другие операции при злокачественном новообразовании молочной железы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желчного пузыря, желчных протоков и поджелудочной железы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новообразовании желчного пузыря, желчных протоков и поджелудочной железы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пищевода, желудка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пищевода, желудка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злокачественном новообразовании пищевода, желудка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при злокачественном новообразовании брюшной полости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при 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локачественных новообразованиях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 при злокачественных новообразованиях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 при злокачественных новообразованиях (уровень 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мужских половых органов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при злокачественных новообразованиях мужских половых органов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st19.123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Прочие операции при ЗНО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st19.124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Прочие операции при ЗНО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st19.038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st19.104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Эвисцерация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малого таза при лучевых повреждениях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ерхних дыхательных путях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st24.004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Ревматические болезни сердца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сердце и коронарных сосудах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сердце и коронарных сосудах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сердце и коронарных сосудах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st25.012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сосудах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st27.007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Стенокардия (кроме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нестабильной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), хроническая ишемическая болезнь сердца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st27.009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болезни сердца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 средостения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 средостения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средостения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st28.005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нижних дыхательных путях и легочной ткани, органах средостения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Тяжелая множественная и сочетанная травма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политравма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Эндопротезирование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суставов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st29.013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костно-мышечной системе и суставах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мужских половых органах,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st30.015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почке и мочевыделительной системе, взрослые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коже, подкожной клетчатке, придатках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е, подкожной клетчатке, придатках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коже, подкожной клетчатке, придатках кожи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коже, подкожной клетчатке, придатках кожи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кроветворения и иммунной системы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кроветворения и иммунной системы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кроветворения и иммунной системы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эндокринных железах кроме гипофиза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эндокринных железах кроме гипофиза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Остеомиелит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st31.019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молочной железе (кроме злокачественных новообразований)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желчевыводящих путях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желчном пузыре и желчевыводя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щих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печени и поджелудочной железе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печени и поджелудочной железе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Панкреатит, хирургическое лечение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пищеводе, желудке, двенадцатиперстной кишке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пищеводе, желудке, двенадцатиперстной кишке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пищеводе, желудке, двенадцатиперстной кишке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Аппендэктомия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по поводу грыж,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st32.018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Другие операции на органах брюшной полости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st34.005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органах полости рта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st36.009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Реинфузия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аутокрови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st36.010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Баллонная внутриаортальная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контрпульсация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2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61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st36.011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04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Экстракорпоральная мембранная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оксигенация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проведения лекарственной терапии пациентам в возрасте 18 лет и старше 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медицинской реабилитации, являющиеся прерванными по основаниям 7 и 9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оплачиваются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аналогично случаям лечения, когда хирургическое вмешательство и (или)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терапия не проводились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3.3. Тарифы на оплату медицинской помощи, оказанной в дневных стационарах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Средний размер финансового обеспечения медицинско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помощи по дневным стационарам, оказываемой медицинскими организациями, участвующими в реализации территориальной программы обязательного медицинского страхования Липецкой области, в расчете на одно застрахованное лицо, определенный на основе нормативов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бъемов медицинской помощи и финансовых затрат на единицу объема медицинской помощи в дневных стационарах, установленных Территориальной программой обязательного медицинского страхования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1600,93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3.3.2. Перечень клинико-статистических групп заболеваний, с указанием коэффициентов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затратоемкости КСГ представлен в приложении № 19 к Тарифному соглашению.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3.3.3. Размер средней стоимости законченного случая лечения, включенного в КСГ (базовая ставка по дневным стационарам):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размер средней стоимост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законченного случая лечения по дневному стационару установлен в сумме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15 079,40 руб.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Базовая ставка применяется, в том числе для осуществления межтерриториальных расчетов.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 Поправочные коэффициенты оплаты КСГ.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3.3.4.1. Коэффициенты подуровня оказания медицинской помощи в дневных стационарах (КУС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МО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1027"/>
        <w:tblW w:w="100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4776"/>
      </w:tblGrid>
      <w:tr>
        <w:trPr>
          <w:trHeight w:val="508"/>
        </w:trPr>
        <w:tc>
          <w:tcPr>
            <w:tcW w:w="5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оказания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подуровня оказания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10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 уровень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1.1.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0,85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1.2.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0,87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gridSpan w:val="2"/>
            <w:tcW w:w="10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 уровень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2.1.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2.2.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0,93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2.3.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0,94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2.4.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0,97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2.5.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gridSpan w:val="2"/>
            <w:tcW w:w="100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 уровень</w:t>
            </w:r>
            <w:r>
              <w:rPr>
                <w:highlight w:val="white"/>
              </w:rPr>
            </w:r>
            <w:r/>
          </w:p>
        </w:tc>
      </w:tr>
      <w:tr>
        <w:trPr>
          <w:trHeight w:val="248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3.1.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1,10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9"/>
        </w:trPr>
        <w:tc>
          <w:tcPr>
            <w:tcW w:w="530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Подуровень 3.2.</w:t>
            </w:r>
            <w:r>
              <w:rPr>
                <w:highlight w:val="white"/>
              </w:rPr>
            </w:r>
            <w:r/>
          </w:p>
        </w:tc>
        <w:tc>
          <w:tcPr>
            <w:tcW w:w="47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1,13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3.3.4.2. Коэффициенты специфики (КС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КСГ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):</w:t>
      </w:r>
      <w:r>
        <w:rPr>
          <w:highlight w:val="white"/>
        </w:rPr>
      </w:r>
      <w:r/>
    </w:p>
    <w:tbl>
      <w:tblPr>
        <w:tblStyle w:val="1029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45"/>
        <w:gridCol w:w="2302"/>
      </w:tblGrid>
      <w:tr>
        <w:trPr/>
        <w:tc>
          <w:tcPr>
            <w:tcW w:w="13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КСГ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Наименование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специфики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ds02.009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2)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ds02.010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3)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ds02.011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4)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1,0502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384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ds13.001</w:t>
            </w:r>
            <w:r>
              <w:rPr>
                <w:highlight w:val="white"/>
              </w:rPr>
            </w:r>
            <w:r/>
          </w:p>
        </w:tc>
        <w:tc>
          <w:tcPr>
            <w:tcW w:w="634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Болезни системы кровообращения, взрослые</w:t>
            </w:r>
            <w:r>
              <w:rPr>
                <w:highlight w:val="white"/>
              </w:rPr>
            </w:r>
            <w:r/>
          </w:p>
        </w:tc>
        <w:tc>
          <w:tcPr>
            <w:tcW w:w="23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0,9883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3.3.4.3. Коэффициент приведения среднего норматива финансовых затрат на 1 случай лечения в дневном стационаре к базовой ставке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(КП) установлен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размере 0,602.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3.3.4.4. Коэффициенты сложности лечения пациента (КСЛП)</w:t>
      </w:r>
      <w:r>
        <w:rPr>
          <w:highlight w:val="white"/>
        </w:rPr>
      </w:r>
      <w:r/>
    </w:p>
    <w:tbl>
      <w:tblPr>
        <w:tblStyle w:val="1047"/>
        <w:tblW w:w="0" w:type="auto"/>
        <w:tblLook w:val="04A0" w:firstRow="1" w:lastRow="0" w:firstColumn="1" w:lastColumn="0" w:noHBand="0" w:noVBand="1"/>
      </w:tblPr>
      <w:tblGrid>
        <w:gridCol w:w="566"/>
        <w:gridCol w:w="7622"/>
        <w:gridCol w:w="1843"/>
      </w:tblGrid>
      <w:tr>
        <w:trPr>
          <w:trHeight w:val="679"/>
          <w:tblHeader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Случаи, для которых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установлен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 КСЛП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highlight w:val="white"/>
              </w:rPr>
              <w:t xml:space="preserve">Значение КСЛП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56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13</w:t>
            </w:r>
            <w:r>
              <w:rPr>
                <w:highlight w:val="white"/>
              </w:rPr>
            </w:r>
            <w:r/>
          </w:p>
        </w:tc>
        <w:tc>
          <w:tcPr>
            <w:tcW w:w="7622" w:type="dxa"/>
            <w:textDirection w:val="lrTb"/>
            <w:noWrap w:val="false"/>
          </w:tcPr>
          <w:p>
            <w:pPr>
              <w:jc w:val="left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проведение сопр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оводительной лекарственной терапии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при злокачественных новообразованиях у взрослых в условиях дневного стационара в соответствии с клиническими рекомендациями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*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1,20</w:t>
            </w:r>
            <w:r>
              <w:rPr>
                <w:highlight w:val="white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*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– стоимость КСЛП «проведение сопроводительной лекарственной терапии при злокачественных новообразованиях у взрослых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соответствии с клиническими рекомендациями» в стационарных условиях и в условиях дневного стационара определяется без учета коэффициента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дифференциации субъекта Российской Федерации.</w:t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67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При отсутствии оснований применения КСЛП, значение параметра КСЛП при расчете стоимости законченного случая лечения принимается </w:t>
      </w:r>
      <w:r>
        <w:rPr>
          <w:rFonts w:ascii="Times New Roman" w:hAnsi="Times New Roman" w:cs="Times New Roman"/>
          <w:sz w:val="28"/>
          <w:highlight w:val="white"/>
        </w:rPr>
        <w:t xml:space="preserve">равным</w:t>
      </w:r>
      <w:r>
        <w:rPr>
          <w:rFonts w:ascii="Times New Roman" w:hAnsi="Times New Roman" w:cs="Times New Roman"/>
          <w:sz w:val="28"/>
          <w:highlight w:val="white"/>
        </w:rPr>
        <w:t xml:space="preserve"> 0.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применения КСЛП определен приложением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етодическим рекомендациям Министерства здравоохранения Российско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Федерации и Федерального фонда обязательного медицинского страхования «Методические рекомендации по способам оплаты медицинской помощи за счет средств обязательного медицинского страхования»</w:t>
      </w:r>
      <w:r>
        <w:rPr>
          <w:rFonts w:ascii="Times New Roman" w:hAnsi="Times New Roman" w:cs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3.3.5. Расчет стоимости 1 случая лечения в дневном стационаре.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44"/>
        <w:ind w:firstLine="54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дневном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(за исключением КСГ,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дицинской помощи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расходов), </w:t>
      </w:r>
      <w:r>
        <w:rPr>
          <w:rFonts w:ascii="Times New Roman" w:hAnsi="Times New Roman" w:cs="Times New Roman"/>
          <w:sz w:val="28"/>
          <w:highlight w:val="white"/>
        </w:rPr>
        <w:t xml:space="preserve">определяется по следующей формуле:</w:t>
      </w:r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1044"/>
        <w:jc w:val="center"/>
        <w:rPr>
          <w:rFonts w:ascii="Times New Roman" w:hAnsi="Times New Roman" w:cs="Times New Roman"/>
          <w:highlight w:val="white"/>
        </w:rPr>
      </w:pPr>
      <w:r>
        <w:rPr>
          <w:highlight w:val="white"/>
        </w:rPr>
      </w:r>
      <w:r/>
      <m:oMath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32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СС</m:t>
            </m:r>
          </m:e>
          <m:sub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КСГ</m:t>
            </m:r>
          </m:sub>
        </m:sSub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=БС×КД×</m:t>
        </m:r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32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КЗ</m:t>
            </m:r>
          </m:e>
          <m:sub>
            <m:r>
              <w:rPr>
                <w:rFonts w:ascii="Cambria Math" w:hAnsi="Cambria Math" w:cs="Calibri" w:eastAsia="Times New Roman"/>
                <w:color w:val="000000" w:themeColor="text1"/>
                <w:sz w:val="32"/>
                <w:szCs w:val="20"/>
                <w:lang w:eastAsia="ru-RU"/>
              </w:rPr>
              <m:rPr/>
              <m:t>КСГ</m:t>
            </m:r>
          </m:sub>
        </m:sSub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×</m:t>
        </m:r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29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>
                <m:sty m:val="p"/>
              </m:rPr>
              <m:t>КС</m:t>
            </m:r>
          </m:e>
          <m:sub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/>
              <m:t>КСГ</m:t>
            </m:r>
          </m:sub>
        </m:sSub>
        <m:r>
          <w:rPr>
            <w:rFonts w:ascii="Cambria Math" w:hAnsi="Cambria Math" w:cs="Calibri"/>
            <w:color w:val="000000" w:themeColor="text1"/>
            <w:sz w:val="29"/>
            <w:szCs w:val="20"/>
            <w:lang w:eastAsia="ru-RU"/>
          </w:rPr>
          <m:rPr/>
          <m:t>×</m:t>
        </m:r>
        <m:sSub>
          <m:sSubPr>
            <m:ctrlPr>
              <w:rPr>
                <w:rFonts w:ascii="Cambria Math" w:hAnsi="Cambria Math" w:cs="Calibri" w:eastAsia="Times New Roman"/>
                <w:i/>
                <w:color w:val="000000" w:themeColor="text1"/>
                <w:sz w:val="29"/>
                <w:szCs w:val="20"/>
                <w:lang w:eastAsia="ru-RU"/>
              </w:rPr>
            </m:ctrlPr>
          </m:sSubPr>
          <m:e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/>
              <m:t>КУС</m:t>
            </m:r>
          </m:e>
          <m:sub>
            <m:r>
              <w:rPr>
                <w:rFonts w:ascii="Cambria Math" w:hAnsi="Cambria Math" w:cs="Calibri"/>
                <w:color w:val="000000" w:themeColor="text1"/>
                <w:sz w:val="29"/>
                <w:szCs w:val="20"/>
                <w:lang w:eastAsia="ru-RU"/>
              </w:rPr>
              <m:rPr/>
              <m:t>МО</m:t>
            </m:r>
          </m:sub>
        </m:sSub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+БС×</m:t>
        </m:r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КД</m:t>
        </m:r>
        <m:r>
          <w:rPr>
            <w:rFonts w:ascii="Cambria Math" w:hAnsi="Cambria Math" w:cs="Calibri" w:eastAsia="Times New Roman"/>
            <w:color w:val="000000" w:themeColor="text1"/>
            <w:sz w:val="32"/>
            <w:szCs w:val="20"/>
            <w:lang w:eastAsia="ru-RU"/>
          </w:rPr>
          <m:rPr/>
          <m:t>×КСЛП</m:t>
        </m:r>
      </m:oMath>
      <w:r>
        <w:rPr>
          <w:rFonts w:ascii="Times New Roman" w:hAnsi="Times New Roman" w:cs="Times New Roman"/>
          <w:sz w:val="28"/>
          <w:highlight w:val="white"/>
        </w:rPr>
        <w:t xml:space="preserve">, где:</w:t>
      </w:r>
      <w:r/>
      <w:r>
        <w:rPr>
          <w:highlight w:val="white"/>
        </w:rPr>
      </w:r>
      <w:r/>
    </w:p>
    <w:p>
      <w:pPr>
        <w:pStyle w:val="104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448"/>
        <w:gridCol w:w="62"/>
      </w:tblGrid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БС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48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базовая ставка,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     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КСГ, к которой отнесен данный случай госпитализации;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й КСГ);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10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  <w:t xml:space="preserve">Стоимость одного случая госпитализации в круглосуточном стационаре (</w:t>
      </w:r>
      <w:r>
        <w:rPr>
          <w:rFonts w:ascii="Times New Roman" w:hAnsi="Times New Roman" w:cs="Times New Roman"/>
          <w:sz w:val="28"/>
          <w:highlight w:val="white"/>
        </w:rPr>
        <w:t xml:space="preserve">ССксг</w:t>
      </w:r>
      <w:r>
        <w:rPr>
          <w:rFonts w:ascii="Times New Roman" w:hAnsi="Times New Roman" w:cs="Times New Roman"/>
          <w:sz w:val="28"/>
          <w:highlight w:val="white"/>
        </w:rPr>
        <w:t xml:space="preserve">) по КСГ в составе которых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29.12.2022 № 2497 «О Программе государственных гарантий бесплатного оказания гражданам медицинской помо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щи на 2023 год и на плановый период 2024 и 2025 годов»</w:t>
      </w:r>
      <w:r>
        <w:rPr>
          <w:rFonts w:ascii="Times New Roman" w:hAnsi="Times New Roman" w:cs="Times New Roman"/>
          <w:sz w:val="28"/>
          <w:highlight w:val="white"/>
        </w:rPr>
        <w:t xml:space="preserve"> установлены доли заработной платы и прочих расходов, определяется по следующей формуле:</w:t>
      </w:r>
      <w:r>
        <w:rPr>
          <w:highlight w:val="white"/>
        </w:rPr>
      </w:r>
      <w:r/>
    </w:p>
    <w:p>
      <w:pPr>
        <w:pStyle w:val="1044"/>
        <w:ind w:right="-143"/>
        <w:jc w:val="center"/>
        <w:tabs>
          <w:tab w:val="left" w:pos="567" w:leader="none"/>
          <w:tab w:val="right" w:pos="9498" w:leader="none"/>
        </w:tabs>
        <w:rPr>
          <w:rFonts w:ascii="Times New Roman" w:hAnsi="Times New Roman" w:cs="Times New Roman"/>
          <w:highlight w:val="white"/>
        </w:rPr>
      </w:pPr>
      <w:r>
        <w:rPr>
          <w:highlight w:val="white"/>
        </w:rPr>
      </w:r>
      <m:oMathPara>
        <m:oMathParaPr/>
        <m:oMath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=БС×</m:t>
          </m:r>
          <m:sSub>
            <m:sSub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КСГ</m:t>
              </m:r>
            </m:sub>
          </m:sSub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×</m:t>
          </m:r>
          <m:d>
            <m:dPr>
              <m:ctrlPr>
                <w:rPr>
                  <w:rFonts w:ascii="Cambria Math" w:hAnsi="Cambria Math" w:cs="Cambria Math" w:eastAsia="Cambria Math"/>
                  <w:i/>
                  <w:sz w:val="28"/>
                  <w:szCs w:val="24"/>
                  <w:highlight w:val="white"/>
                </w:rPr>
              </m:ctrlPr>
            </m:dPr>
            <m:e>
              <m:d>
                <m:dPr>
                  <m:ctrlPr>
                    <w:rPr>
                      <w:rFonts w:ascii="Cambria Math" w:hAnsi="Cambria Math" w:cs="Cambria Math" w:eastAsia="Cambria Math"/>
                      <w:i/>
                      <w:sz w:val="28"/>
                      <w:szCs w:val="24"/>
                      <w:highlight w:val="whit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1-</m:t>
                  </m:r>
                  <m:sSub>
                    <m:sSubPr>
                      <m:ctrlPr>
                        <w:rPr>
                          <w:rFonts w:ascii="Cambria Math" w:hAnsi="Cambria Math" w:cs="Cambria Math" w:eastAsia="Cambria Math"/>
                          <w:i/>
                          <w:sz w:val="28"/>
                          <w:szCs w:val="24"/>
                          <w:highlight w:val="whit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highlight w:val="white"/>
                        </w:rPr>
                        <m:rPr/>
                        <m:t>ЗП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 +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8"/>
                      <w:szCs w:val="24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  <w:highlight w:val="white"/>
                    </w:rPr>
                    <m:rPr/>
                    <m:t>Д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8"/>
                      <w:szCs w:val="24"/>
                      <w:highlight w:val="white"/>
                      <w:lang w:eastAsia="en-US"/>
                    </w:rPr>
                    <m:rPr/>
                    <m:t>ЗП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4"/>
                  <w:highlight w:val="white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>
                      <m:sty m:val="p"/>
                    </m:rPr>
                    <m:t>КС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КСГ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</m:t>
              </m:r>
              <m:sSub>
                <m:sSubPr>
                  <m:ctrlPr>
                    <w:rPr>
                      <w:rFonts w:ascii="Cambria Math" w:hAnsi="Cambria Math" w:eastAsiaTheme="minorHAnsi" w:cstheme="minorBidi"/>
                      <w:i/>
                      <w:sz w:val="29"/>
                      <w:szCs w:val="29"/>
                      <w:highlight w:val="white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КУС</m:t>
                  </m:r>
                </m:e>
                <m:sub>
                  <m:r>
                    <w:rPr>
                      <w:rFonts w:ascii="Cambria Math" w:hAnsi="Cambria Math" w:eastAsiaTheme="minorHAnsi" w:cstheme="minorBidi"/>
                      <w:sz w:val="29"/>
                      <w:szCs w:val="29"/>
                      <w:highlight w:val="white"/>
                      <w:lang w:eastAsia="en-US"/>
                    </w:rPr>
                    <m:rPr/>
                    <m:t>МО</m:t>
                  </m:r>
                </m:sub>
              </m:sSub>
              <m:r>
                <w:rPr>
                  <w:rFonts w:ascii="Cambria Math" w:hAnsi="Cambria Math" w:eastAsiaTheme="minorHAnsi" w:cstheme="minorBidi"/>
                  <w:sz w:val="29"/>
                  <w:szCs w:val="29"/>
                  <w:highlight w:val="white"/>
                  <w:lang w:eastAsia="en-US"/>
                </w:rPr>
                <m:rPr/>
                <m:t>×КД</m:t>
              </m:r>
            </m:e>
          </m:d>
          <m:r>
            <w:rPr>
              <w:rFonts w:ascii="Cambria Math" w:hAnsi="Cambria Math" w:cs="Times New Roman"/>
              <w:sz w:val="28"/>
              <w:szCs w:val="24"/>
              <w:highlight w:val="white"/>
            </w:rPr>
            <m:rPr/>
            <m:t>+ БС×КД×КСЛП</m:t>
          </m:r>
        </m:oMath>
      </m:oMathPara>
      <w:r>
        <w:rPr>
          <w:highlight w:val="white"/>
        </w:rPr>
        <w:br/>
      </w:r>
      <w:r>
        <w:rPr>
          <w:rFonts w:ascii="Times New Roman" w:hAnsi="Times New Roman" w:cs="Times New Roman"/>
          <w:sz w:val="28"/>
          <w:szCs w:val="24"/>
          <w:highlight w:val="white"/>
        </w:rPr>
        <w:t xml:space="preserve">, </w:t>
      </w:r>
      <w:r>
        <w:rPr>
          <w:rFonts w:ascii="Times New Roman" w:hAnsi="Times New Roman" w:cs="Times New Roman"/>
          <w:sz w:val="32"/>
          <w:highlight w:val="white"/>
        </w:rPr>
        <w:t xml:space="preserve">где: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622"/>
        <w:gridCol w:w="7794"/>
        <w:gridCol w:w="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БС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размер базовой ставки без учета коэффициента дифференциации, рублей;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КД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дифференциации, рассчитанный в соответствии с Постановлением № 462);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28"/>
                        <w:highlight w:val="white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highlight w:val="white"/>
                        <w:vertAlign w:val="subscript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относительной затратоемкости по КСГ, к которой отнесен данный случай госпитализации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mbria Math" w:eastAsia="Cambria Math"/>
                        <w:i/>
                        <w:sz w:val="32"/>
                        <w:szCs w:val="28"/>
                        <w:highlight w:val="white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  <w:highlight w:val="white"/>
                      </w:rPr>
                      <m:rPr/>
                      <m:t>ЗП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доля заработной платы и прочих расходов в структуре стоимости КСГ установленная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29.12.2022 № 2497 «О Программе государственных гарантий бесплатного оказания гражданам медицинской помощи на 2023 го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д и на плановый период 2024 и 2025 годов»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(приводится далее);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cs="Times New Roman" w:eastAsia="Calibri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>
                        <m:sty m:val="p"/>
                      </m:rPr>
                      <m:t>КС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КСГ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4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специфики КСГ, к которой отнесен данный случай госпитализации (используется в расчетах, в случае если указанный коэффициент определен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данной КСГ);</w:t>
            </w:r>
            <w:r>
              <w:rPr>
                <w:highlight w:val="white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highlight w:val="white"/>
              </w:rPr>
            </w: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eastAsiaTheme="minorHAnsi" w:cstheme="minorBidi"/>
                        <w:i/>
                        <w:sz w:val="29"/>
                        <w:szCs w:val="29"/>
                        <w:highlight w:val="white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КУС</m:t>
                    </m:r>
                  </m:e>
                  <m:sub>
                    <m:r>
                      <w:rPr>
                        <w:rFonts w:ascii="Cambria Math" w:hAnsi="Cambria Math" w:eastAsiaTheme="minorHAnsi" w:cstheme="minorBidi"/>
                        <w:sz w:val="29"/>
                        <w:szCs w:val="29"/>
                        <w:highlight w:val="white"/>
                        <w:lang w:eastAsia="en-US"/>
                      </w:rPr>
                      <m:rPr/>
                      <m:t>МО</m:t>
                    </m:r>
                  </m:sub>
                </m:sSub>
              </m:oMath>
            </m:oMathPara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4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подуровня медицинской организации, в которой был пролечен пациент;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22" w:type="dxa"/>
            <w:textDirection w:val="lrTb"/>
            <w:noWrap w:val="false"/>
          </w:tcPr>
          <w:p>
            <w:pPr>
              <w:pStyle w:val="1044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КСЛП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796" w:type="dxa"/>
            <w:textDirection w:val="lrTb"/>
            <w:noWrap w:val="false"/>
          </w:tcPr>
          <w:p>
            <w:pPr>
              <w:pStyle w:val="1044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коэффициент сложности лечения пациента (при необходимости, сумма 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применяемых</w:t>
            </w:r>
            <w:r>
              <w:rPr>
                <w:rFonts w:ascii="Times New Roman" w:hAnsi="Times New Roman" w:cs="Times New Roman"/>
                <w:sz w:val="28"/>
                <w:highlight w:val="white"/>
              </w:rPr>
              <w:t xml:space="preserve"> КСЛП).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Доля заработной платы и прочих расходов в структуре стоимости КСГ, </w:t>
      </w:r>
      <w:r>
        <w:rPr>
          <w:rFonts w:ascii="Times New Roman" w:hAnsi="Times New Roman" w:cs="Times New Roman"/>
          <w:sz w:val="28"/>
          <w:highlight w:val="white"/>
        </w:rPr>
        <w:t xml:space="preserve">установленная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год и 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плановый период 2024 и 2025 годов»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представлена в таблице:</w:t>
      </w:r>
      <w:r>
        <w:rPr>
          <w:highlight w:val="white"/>
        </w:rPr>
      </w:r>
      <w:r/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146"/>
        <w:gridCol w:w="8005"/>
        <w:gridCol w:w="1070"/>
      </w:tblGrid>
      <w:tr>
        <w:trPr>
          <w:trHeight w:val="9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Наименование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Доля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Дзп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16,40%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20,87%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18,27%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ds02.011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Экстракорпоральное оплодотворение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17,59%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97,44%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терапии, физиотерапии,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плазмафереза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96,30%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и системной 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98,27%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ds06.005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дерматозов с применением наружной терапии и фототерапии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98,20%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10,88%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7,36%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5,17%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ds12.015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хронического вирусного гепатита C (ур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3,57%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ds19.058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78,38%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82,64%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31,86%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Лучевая терапия в сочетании с лекарственной терапией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16,69%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ds19.069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я,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62,10%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6,02%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19,12%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31,71%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41,49%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0,65%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зрослые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2,59%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7,35%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ds19.078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10,33%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28,92%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ds19.098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ds19.099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рной тканей), взрослые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14,85%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28,77%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13,39%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4,88%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15,23%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15,06%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14,14%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23,12%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20,53%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4,11%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9,84%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аней), взрослые (уровень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7,29%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3,48%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5,64%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6,61%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0,22%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ds19.115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0,36%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0,23%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ds21.007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10,32%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1,09%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0,51%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(инициация)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13,00%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19,19%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9,47%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5,42%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4,05%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 с применением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2,88%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1,83%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8,51%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е с применением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1,19%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0,98%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9,32%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0,63%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ние с применением генно-инженерных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6,20%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2,11%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0,29%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0,19%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0,09%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0,08%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0,04%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6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ds36.034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00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0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  <w:highlight w:val="white"/>
              </w:rPr>
              <w:t xml:space="preserve">0,02%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3.3.6. Порядок оплаты прерванных случаев оказания медицинской помощи </w:t>
      </w:r>
      <w:r>
        <w:rPr>
          <w:highlight w:val="white"/>
        </w:rPr>
      </w:r>
      <w:r/>
    </w:p>
    <w:p>
      <w:pPr>
        <w:ind w:right="-57" w:firstLine="709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Постановлением Правительства Российской Федерации от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29.12.2022 № 2497 «О Программе государственных гарантий бесплатного оказания гражданам медицинской помощи на 2023 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 и на плановый период 2024 и 2025 годов»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к прерванным случаям относятся: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 случаи прерывания лечения по медицинским показаниям;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 случаи лечения при переводе пациента из одного отделения медицинской организации в другое;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 случаи изменения условий 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азания медицинской помощи (перевода пациента из условий дневного стационара в стационарные условия);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4. случаи перевода пациента в другую медицинскую организацию;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 случаи лечения при преждевременной выписке пациента из медицинской организации в случае ег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письменного отказа от дальнейшего лечения;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6. случаи лечения, закончившиеся летальным исходом;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7. 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8. законченные случаи лечения (не являющиеся прерванными по основаниям 1-7)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длительностью 3 дня и менее по КСГ, не включенным в перечень КСГ, для которых оптимальным сроком лечения является период менее 3 дней включительно.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 случае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если перевод пациента из одного отделения медицинской организации в другое обусловлен возникновен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ием (наличием) нового заболевания или состояния, относящегося к тому же классу МКБ-10,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что и диагноз основного заболевания, и (или) являющегося следствием закономерного прогрессирования основного заболевания, внутрибольничной инфекции или осложнением осно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вного заболевания, что не соответствует критериям оплаты случая госпитализации/лечения по двум КСГ, оплата производится в рамках одного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случая лечения по КСГ с наибольшим размером оплаты, а отнесение такого случая к прерванным по основанию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 перевода пациент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а из одного отделения медицинской организации в другое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не производится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оплате случаев лечения, подлежащих оплате по 2 КСГ, случай до перевода не может считаться прерванным по основаниям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прерванности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2-4, если он подлежит оплате по 2 КСГ по следующим основаниям: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медицинской реабилитации пациента после завершен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ия лечения в той же медицинской организации по поводу заболевания,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по которому осуществлялось лечение;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оказание медицинской помощи, связанной с установкой, заменой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порт-системы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(катетера) для лекарственной терапии злокачественных новообразований с после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дующим проведением лекарственной терапии или после хирургического лечения в рамках одной госпитализации;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этапное хирургическое лечение при злокачественных новообразованиях, не предусматривающее выписку пациента из стационара;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реинфузии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ауток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рови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баллонной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внутриаортальной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контрпульсации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или экстракорпоральной мембранной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оксигенации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 фоне лечения основного заболевания;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дородовая госпитализация пациентки в отделение патологии беременности в случае пребывания в отделении патологии беременно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сти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течение 6 дней и более с последующим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родоразрешением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наличие у пациента тяжелой сопутствующей патологии, требующей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в ходе оказания медицинской помощи в период госпитализации имплантации в организм пациента медицинского изделия;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 проведение имму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</w:t>
      </w:r>
      <w:r>
        <w:rPr>
          <w:rFonts w:ascii="Times New Roman" w:hAnsi="Times New Roman" w:cs="Times New Roman" w:eastAsia="Times New Roman"/>
          <w:sz w:val="28"/>
          <w:highlight w:val="white"/>
        </w:rPr>
        <w:br/>
        <w:t xml:space="preserve">к иммунизации;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- проведение антимикробной терапии инфекций, вызванных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полирезистент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ными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микроорганизмами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en-US"/>
        </w:rPr>
        <w:t xml:space="preserve">Перечень КСГ с оптимальной длительностью лечения до 3 дней включительно:</w:t>
      </w:r>
      <w:r>
        <w:rPr>
          <w:highlight w:val="white"/>
        </w:rPr>
      </w:r>
      <w:r/>
    </w:p>
    <w:tbl>
      <w:tblPr>
        <w:tblW w:w="10043" w:type="dxa"/>
        <w:tblLook w:val="04A0" w:firstRow="1" w:lastRow="0" w:firstColumn="1" w:lastColumn="0" w:noHBand="0" w:noVBand="1"/>
      </w:tblPr>
      <w:tblGrid>
        <w:gridCol w:w="1149"/>
        <w:gridCol w:w="8894"/>
      </w:tblGrid>
      <w:tr>
        <w:trPr>
          <w:trHeight w:val="31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Осложнения беременности, родов, послеродового периода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Искусственное прерывание беременности (аборт)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Аборт медикаментозный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Экстракорпоральное оплодотворение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ds05.005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доброкачественных заболеваниях крови и пузырном заносе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ds08.001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ds08.002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остром лейкозе,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ds08.003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других злокачественных новообразованиях лимфоидной и кроветворной тканей,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ds15.002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ds15.003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Неврологические заболевания, лечение с применением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бот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улотоксина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Госпитализация в диагностических целях с проведением молекулярно-генетического и (или)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иммуногистохимического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исс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ледования или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иммунофенотипирования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ds19.057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Лучевая терапия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ds19.063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 без специального противоопухолевого лечения (уровень 1) &lt;*&gt;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ds19.067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ds19.071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ds19.075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ЗНО лимфоидной и кроветворной тканей, лекарственная терапия с применением отдельных препаратов (по перечню),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ds19.097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ds19.098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ds19.099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s19.103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ds19.109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ds19.115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 имплантацией ИОЛ)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ds25.001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ds27.001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Отравления и другие воздействия внешних причин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Комплексное лечение с применением препаратов иммуноглобулина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аторно-синцитиальной вирусной инфекции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Проведение иммунизации против респираторно-синцитиальной вирусной инфекции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ds36.019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ием генно-инженерных биологических препаратов и селективных иммунодепрессантов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ых биологических препаратов и селективных иммунодепрессантов (уровень 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нием генно-инженерных биологических препаратов и селективных иммунодепрессантов (уровень 11)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ерных биологических препаратов и селективных иммунодепрессантов (уровень 13)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ds36.029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16)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17)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18)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ением генно-инженерных биологических препаратов и селективных иммунодепрессантов (уровень 19)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генно-инженерных биологических препаратов и селективных иммунодепрессантов (уровень 20)</w:t>
            </w:r>
            <w:r>
              <w:rPr>
                <w:highlight w:val="white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49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ds36.035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894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Лечение с применением методов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афереза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 (каскадная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плазмофильтрация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, липидная фильтрация,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иммуносорбция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szCs w:val="22"/>
                <w:highlight w:val="white"/>
              </w:rPr>
              <w:t xml:space="preserve">) в случае отсутствия эффективности базисной терапии</w:t>
            </w:r>
            <w:r>
              <w:rPr>
                <w:highlight w:val="white"/>
              </w:rPr>
            </w:r>
            <w:r/>
          </w:p>
        </w:tc>
      </w:tr>
    </w:tbl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&lt;*&gt;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Законченный случай оказания медицинской помощи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по данным КСГ не может быть отнесен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 прерванным случа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ям по основаниям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связанным с длительностью лечения,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и оплачивается в полном объеме независимо от длительности лечения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. При этом в случае наличия оснований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прерванности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, не связанных с длительностью лечения, случай оказания медицинской помощи оплачивается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как прерванный на общих основаниях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Размеры оплаты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случаев оказания медицинской помощи, являющихся прерванными определяется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следующим образом.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если пациенту была выполнена хирургическая операция и (или) проведена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терапия, являющиеся классификационными критериями отнесения данных случаев лечения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конкретным КСГ,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3 дня и менее – 80% от стоимости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90% от стоимости КСГ.</w:t>
      </w:r>
      <w:r>
        <w:rPr>
          <w:highlight w:val="white"/>
        </w:rPr>
      </w:r>
      <w:r/>
    </w:p>
    <w:p>
      <w:pPr>
        <w:ind w:right="-57"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хирургическое лечение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терапия не проводились, случай оплачивается в размере: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ия 3 дня и менее – 20% от стоимости КСГ;</w:t>
      </w:r>
      <w:r>
        <w:rPr>
          <w:highlight w:val="white"/>
        </w:rPr>
      </w:r>
      <w:r/>
    </w:p>
    <w:p>
      <w:pPr>
        <w:numPr>
          <w:ilvl w:val="0"/>
          <w:numId w:val="5"/>
        </w:numPr>
        <w:ind w:right="-57"/>
        <w:jc w:val="both"/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длительности лечения более 3-х дней – 80% от стоимости КСГ.</w:t>
      </w:r>
      <w:r>
        <w:rPr>
          <w:highlight w:val="white"/>
        </w:rPr>
      </w:r>
      <w:r/>
    </w:p>
    <w:p>
      <w:pPr>
        <w:ind w:left="562" w:right="-57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spacing w:after="200" w:line="276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Перечень КСГ дневного стационара,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которые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предполагают хирургическое лечение или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тромболитическую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терапию</w:t>
      </w:r>
      <w:r>
        <w:rPr>
          <w:highlight w:val="white"/>
        </w:rPr>
      </w:r>
      <w:r/>
    </w:p>
    <w:tbl>
      <w:tblPr>
        <w:tblW w:w="10168" w:type="dxa"/>
        <w:tblInd w:w="93" w:type="dxa"/>
        <w:tblLook w:val="04A0" w:firstRow="1" w:lastRow="0" w:firstColumn="1" w:lastColumn="0" w:noHBand="0" w:noVBand="1"/>
      </w:tblPr>
      <w:tblGrid>
        <w:gridCol w:w="1090"/>
        <w:gridCol w:w="9133"/>
      </w:tblGrid>
      <w:tr>
        <w:trPr>
          <w:trHeight w:val="32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№ КСГ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highlight w:val="white"/>
              </w:rPr>
              <w:t xml:space="preserve">Наименование КСГ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женских половых органах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женских половых органах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Искусственное прерывание беременности (аборт)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ds09.002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ds10.001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дети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ds13.002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Болезни системы кровообращения с применением инвазивных методов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ds14.001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кишечнике и анальной области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кишечнике и анальной области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ds16.002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периферической нервной системе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ds18.003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Формирование, имплантация, удаление, смена доступа для диализа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ds19.016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при злокачественных новообразованиях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9.017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при злокачественных новообразованиях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ds19.028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Установка, замена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порт-системы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(катетера) для лекарственной терапии злокачественных новообразований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ерхних дыхательных путях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слуха, придаточных пазухах носа и верхних дыхательных путях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Замена речевого процессора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4)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(уровень 5)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ds21.007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органе зрения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факоэмульсификация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 имплантацией ИОЛ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ds25.001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Диагностическое обследование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сердечно-сосудистой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ds25.002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сосудах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ds25.003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сосудах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ds28.001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нижних дыхательных путях и легочной ткани, органах средостения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ds29.001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ds29.002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ds29.003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костно-мышечной системе и суставах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мужских половых органах,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еме,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ds30.006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почке и мочевыделительной системе,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коже, подкожной клетчатке, придатках кожи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органах кроветворения и иммунной системы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ds31.006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молочной железе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пищеводе, желудке, двенадцатиперстной кишке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пищеводе, желудке, двенадцатиперстной кишке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по поводу грыж, взрослые (уровень 3)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перации на желчном пузыре и желчевыводящих путях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Другие операции на органах брюшной полости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ds32.008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Другие операции на органах брюшной полости (уровень 2)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ds34.002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органах полости рта (уровень 1)</w:t>
            </w:r>
            <w:r>
              <w:rPr>
                <w:highlight w:val="white"/>
              </w:rPr>
            </w:r>
            <w:r/>
          </w:p>
        </w:tc>
      </w:tr>
      <w:tr>
        <w:trPr>
          <w:trHeight w:val="3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35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ds34.003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133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Операции на органах полости рта (уровень 2)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-6" w:firstLine="539"/>
        <w:jc w:val="both"/>
        <w:tabs>
          <w:tab w:val="left" w:pos="9920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проведения лекарственной терапии пациентам в возрасте 18 лет и старше 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случаи медицинской реабилитации, являющиеся прерванными по основаниям 7 и 9 оплачиваются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аналогично случаям лечения, когда хирургиче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ское вмешательство и (или)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тромболитическая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терапия не проводились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0" w:right="20" w:firstLine="70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3.4. Тарифы на оплату скорой медицинской помощи</w:t>
      </w:r>
      <w:r>
        <w:rPr>
          <w:highlight w:val="white"/>
        </w:rPr>
      </w:r>
      <w:r/>
    </w:p>
    <w:p>
      <w:pPr>
        <w:ind w:firstLine="851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Коэффициенты, применяемые при расчете подушевых нормативов скорой медицинской помощи, а так же фактические дифференцированные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 представлены в приложении №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 Тарифному соглашению.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Базов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ый норматив финансовых затрат на единицу объема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6441"/>
        <w:gridCol w:w="1985"/>
        <w:gridCol w:w="155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Вид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Единица объема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норматив финансовых затрат на единицу объема, руб.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4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Скорая медицинская помощь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вызов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3 288,90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3.4.1. Размер </w:t>
      </w:r>
      <w:r>
        <w:rPr>
          <w:rFonts w:ascii="Times New Roman" w:hAnsi="Times New Roman"/>
          <w:sz w:val="28"/>
          <w:szCs w:val="28"/>
          <w:highlight w:val="white"/>
        </w:rPr>
        <w:t xml:space="preserve">среднего подушевого норматива финансирования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скорой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составляет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924,80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 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3.4.2. Размер базового подушевого норматива финансирования скорой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924,80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trike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3.4.3. Половозрастные коэффициенты дифференциации подушевого норматива финансирования скорой медицинской помощи на 2023 год: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1821"/>
        <w:gridCol w:w="1655"/>
        <w:gridCol w:w="1655"/>
        <w:gridCol w:w="1655"/>
        <w:gridCol w:w="1655"/>
        <w:gridCol w:w="1656"/>
      </w:tblGrid>
      <w:tr>
        <w:trPr>
          <w:trHeight w:val="138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Пол</w:t>
            </w:r>
            <w:r>
              <w:rPr>
                <w:highlight w:val="white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Возраст, лет</w:t>
            </w:r>
            <w:r>
              <w:rPr>
                <w:highlight w:val="white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0 до 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1 до 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От 5 до 17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18-64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65 и старше</w:t>
            </w:r>
            <w:r>
              <w:rPr>
                <w:highlight w:val="white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5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коэффициенты дифференциации подушевого норматива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highlight w:val="white"/>
              </w:rPr>
              <w:t xml:space="preserve">скорой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Мужчины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2,740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1,666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0,445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0,726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1,868</w:t>
            </w:r>
            <w:r>
              <w:rPr>
                <w:highlight w:val="white"/>
              </w:rPr>
            </w:r>
            <w:r/>
          </w:p>
        </w:tc>
      </w:tr>
      <w:tr>
        <w:trPr>
          <w:trHeight w:val="33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white"/>
              </w:rPr>
              <w:t xml:space="preserve">Женщины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2,568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1,466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0,432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0,725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2,334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3.4.4. Тарифы на оплату вызовов скорой медицинской помощи 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год:</w:t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1031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843"/>
      </w:tblGrid>
      <w:tr>
        <w:trPr/>
        <w:tc>
          <w:tcPr>
            <w:tcW w:w="80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Вид вызова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Тариф, руб.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W w:w="98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 базовой программе ОМС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врачебной бригады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3 735,59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фельдшерской бригады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3 168,17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врачебной бригады при остром коронарном синдроме и остром ишемическом инсульте с проведением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терапии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85 775,81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фельдшерской бригады при остром коронарном синдроме и остром ишемическом инсульте с проведением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тромболитической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терапии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85 208,39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Оказание скорой медицинской помощи врачом в случае самообращения на станцию скорой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933,91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804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Оказание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скорой медицинской помощи фельдшером в случае самообращения на станцию скорой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792,05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Сверх базовой программы ОМС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врачебной бригады для больных психоневрологического профиля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3 759,06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Вызов фельдшерской бригады для больных психоневрологического профиля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sz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3 188,07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Тарифы стоимости вызова скорой медицинской помощи в рамках базовой программы ОМС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применяются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том числе для осуществления межтерриториальных расчетов.</w:t>
      </w:r>
      <w:r>
        <w:rPr>
          <w:highlight w:val="white"/>
        </w:rPr>
      </w:r>
      <w:r/>
    </w:p>
    <w:p>
      <w:pPr>
        <w:ind w:right="40" w:firstLine="851"/>
        <w:jc w:val="both"/>
        <w:tabs>
          <w:tab w:val="left" w:pos="1043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851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4. Размер неоплаты или неполной оплаты затрат на оказание медицинской помощи в рамках территориальной программы обязательного медицинского страхования, а также уплаты медицинской организацией штрафов за неоказание, несвоевременное оказание либо оказание ме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дицинской помощи ненадлежащего качества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Общий размер санкций (С), применяемых к медицинским организациям, рассчитывается по формуле: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48410" cy="241300"/>
                <wp:effectExtent l="0" t="0" r="0" b="0"/>
                <wp:docPr id="2" name="image4.png" descr="Описание: base_1_187078_9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Описание: base_1_187078_9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1248409" cy="241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98.3pt;height:19.0pt;">
                <v:path textboxrect="0,0,0,0"/>
                <v:imagedata r:id="rId17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 - размер неоплаты или неполной оплаты затрат медицинской организации на оказание медицинской помощи;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9240" cy="229870"/>
                <wp:effectExtent l="0" t="0" r="0" b="0"/>
                <wp:docPr id="3" name="image5.png" descr="Описание: base_1_187078_10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Описание: base_1_187078_10" hidden="0"/>
                        <pic:cNvPicPr/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69240" cy="229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1.2pt;height:18.1pt;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Размер неоплаты или неполной оплаты затрат медицинской организации на оказание медицинской помощи (Н)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рассчитывается по формуле: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11225" cy="312420"/>
                <wp:effectExtent l="0" t="0" r="0" b="0"/>
                <wp:docPr id="4" name="image3.png" descr="Описание: base_1_187078_1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Описание: base_1_187078_11" hidden="0"/>
                        <pic:cNvPicPr/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911225" cy="312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71.8pt;height:24.6pt;">
                <v:path textboxrect="0,0,0,0"/>
                <v:imagedata r:id="rId1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РТ - размер тарифа на оплату медицинской помощи, действующий на дату оказания медицинской помощи;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43840" cy="228600"/>
                <wp:effectExtent l="0" t="0" r="0" b="0"/>
                <wp:docPr id="5" name="image6.png" descr="Описание: base_1_187078_1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Описание: base_1_187078_12" hidden="0"/>
                        <pic:cNvPicPr/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9.2pt;height:18.0pt;">
                <v:path textboxrect="0,0,0,0"/>
                <v:imagedata r:id="rId2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неполной оплаты медицинской помощи по основанию для отказа в оплате медицинской пом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ощи либо уменьшению оплаты медицинской помощи.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Если стоимость случая,</w:t>
      </w:r>
      <w:r>
        <w:rPr>
          <w:color w:val="000000" w:themeColor="text1"/>
          <w:highlight w:val="white"/>
        </w:rPr>
        <w:t xml:space="preserve">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подлежащего неоплате (неполной оплате)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не является тарифом, утвержденным тарифным соглашением, или получена расчетным путем, в том числе с использованием доли оплаты прерванных случаев,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то параметр РТ следует понимать как сумму, выставленную к оплате по законченному случаю лечения.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бующего его замены,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 штрафа, применяемого к медицинской организации за неоказание, несвое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временное оказание либо оказание медицинской помощи ненадлежащего качества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73380" cy="327025"/>
                <wp:effectExtent l="0" t="0" r="0" b="0"/>
                <wp:docPr id="6" name="image2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hidden="0"/>
                        <pic:cNvPicPr/>
                        <pic:nvPr isPhoto="0" userDrawn="0"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373380" cy="327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9.4pt;height:25.8pt;">
                <v:path textboxrect="0,0,0,0"/>
                <v:imagedata r:id="rId2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рассчитывается по формуле: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78915" cy="327025"/>
                <wp:effectExtent l="0" t="0" r="0" b="0"/>
                <wp:docPr id="7" name="image1.png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hidden="0"/>
                        <pic:cNvPicPr/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478915" cy="327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16.4pt;height:25.8pt;">
                <v:path textboxrect="0,0,0,0"/>
                <v:imagedata r:id="rId22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при оказании медицинской помощи в амбулаторных условиях: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подушевой норматив финансирования медицинской помощи, оказанной в амбулаторных условиях,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установленый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6082,60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неоказание, не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своевременное оказание либо оказание медицинской помощи ненадлежащего качества;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при оказании скорой медицинской помощи вне медицинской организации: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СМП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СМП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- подушевой норматив финансирования скорой медицинской помощи, оказанной вне медицинской организации, установленный Территориальной программой государственных гарантий бесплатного оказания гражданам на территории Липецкой области медицинской помощи на дату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992,10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казание, несвоевременное оказание либо оказание медицинской помощи ненадлежащего качества;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при оказании медицинской помощи в условиях круглосуточного стационара: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СТ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подушевой норматив финансирования, установленный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установленый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Территориальной программой государственных гарантий бесплатного оказания гражданам на территории Липецкой области медицинской помощи на дату проведения контроля объемов, сроков, качества и ус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6831,70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неоказание,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несвоевремменое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оказание либо оказание 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дицинской помощи ненадлежащего качества.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при оказании медицинской помощи в условиях дневного стационара: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= 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ДС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x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где: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ДС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подушевой норматив финансирования, установленный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установленный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Территориальной программой государственных гаранти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й бесплатного оказания гражданам на территории Липецкой области медицинской помощи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1762,10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руб.);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vertAlign w:val="subscript"/>
        </w:rPr>
        <w:t xml:space="preserve">шт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- коэффициент для определения размера штрафа по основанию для начисления штрафа за неоказание,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несвоевремменое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оказание либо оказание медицинской помощи ненадлежащего качества.</w:t>
      </w:r>
      <w:r>
        <w:rPr>
          <w:highlight w:val="white"/>
        </w:rPr>
      </w:r>
      <w:r/>
    </w:p>
    <w:p>
      <w:pPr>
        <w:ind w:firstLine="540"/>
        <w:jc w:val="both"/>
        <w:spacing w:before="220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Перечень оснований для отказа в оплате медицинской помощи (уменьшения оплаты медицинской помощи)</w:t>
      </w:r>
      <w:r>
        <w:rPr>
          <w:highlight w:val="white"/>
        </w:rPr>
      </w:r>
      <w:r/>
    </w:p>
    <w:tbl>
      <w:tblPr>
        <w:tblStyle w:val="104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7"/>
        <w:gridCol w:w="5046"/>
        <w:gridCol w:w="1701"/>
        <w:gridCol w:w="1559"/>
      </w:tblGrid>
      <w:tr>
        <w:trPr/>
        <w:tc>
          <w:tcPr>
            <w:tcW w:w="16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Код нарушения/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дефекта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ind w:firstLine="708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оснований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для определения размера неполной оплаты медицинской помощи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Коэффициент для определения размера штрафа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4"/>
            <w:tcW w:w="9923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Раздел 1. Нарушения, выявляемые при проведении медико-экономического контроля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1.2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1.3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Госпитализация застрахованного лиц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оформлением и предъявлением на оплату счетов и реестров счетов,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наличие ошибок и/или недостоверной информации в реквизитах счета;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сумма счета не соответствует итоговой сумме предоставленной медицинской помощи по реестру счетов;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медицинской помощи, оказанной застрахованным лицам;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948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tbl>
            <w:tblPr>
              <w:tblW w:w="0" w:type="auto"/>
              <w:tblCellSpacing w:w="15" w:type="dxa"/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>
              <w:trPr>
                <w:tblCellSpacing w:w="15" w:type="dxa"/>
              </w:trPr>
              <w:tc>
                <w:tcPr>
                  <w:tcW w:w="36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  <w:tc>
                <w:tcPr>
                  <w:tcW w:w="3671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t xml:space="preserve">некорректное заполнение полей реестра счетов;</w:t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</w:tbl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заявленная сумма по позиции реестра счетов не корректна (содержит арифметическую ошибку);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1.4.6.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 оказания медицинской помощи в реестре счетов не соответствует отчетному периоду/периоду оплаты;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1.5.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видов медицинской помощи, не входящих в программу обязательного медицинского страхования;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обязательном медицинским страхованием;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законодательством об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обязательном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медицинским страхованием;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1.6.4.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страхования, медицинских услуг, оказываемых частными медицинскими организаци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местности.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1.7.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необоснованным применением тарифа на оплату медицинской помощи, в том числе:</w:t>
            </w:r>
            <w:r>
              <w:rPr>
                <w:highlight w:val="white"/>
              </w:rPr>
            </w:r>
            <w:r/>
          </w:p>
        </w:tc>
      </w:tr>
      <w:tr>
        <w:trPr>
          <w:trHeight w:val="1040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1.7.1.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 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261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1.7.2.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tbl>
            <w:tblPr>
              <w:tblW w:w="0" w:type="auto"/>
              <w:tblCellSpacing w:w="15" w:type="dxa"/>
              <w:tblLayout w:type="fixed"/>
              <w:tblCellMar>
                <w:left w:w="15" w:type="dxa"/>
                <w:top w:w="15" w:type="dxa"/>
                <w:right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16"/>
            </w:tblGrid>
            <w:tr>
              <w:trPr>
                <w:tblCellSpacing w:w="15" w:type="dxa"/>
                <w:trHeight w:val="826"/>
              </w:trPr>
              <w:tc>
                <w:tcPr>
                  <w:tcW w:w="36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  <w:tc>
                <w:tcPr>
                  <w:tcW w:w="3671" w:type="dxa"/>
                  <w:textDirection w:val="lrTb"/>
                  <w:noWrap w:val="false"/>
                </w:tcPr>
                <w:p>
                  <w:pPr>
                    <w:ind w:firstLine="708"/>
                    <w:jc w:val="both"/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pBdr>
                      <w:top w:val="none" w:color="000000" w:sz="4" w:space="0"/>
                      <w:left w:val="none" w:color="000000" w:sz="4" w:space="0"/>
                      <w:bottom w:val="none" w:color="000000" w:sz="4" w:space="0"/>
                      <w:right w:val="none" w:color="000000" w:sz="4" w:space="0"/>
                      <w:between w:val="none" w:color="000000" w:sz="4" w:space="0"/>
                    </w:pBdr>
                  </w:pP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highlight w:val="white"/>
                    </w:rPr>
                    <w:t xml:space="preserve">включение в реестр счетов случаев оказания медицинской по тарифам на оплату медицинской помощи, установленным в соответствии с законодательством об обязательном медицинском страховании.</w:t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</w:tbl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страховых случаев по видам медицинской деятельности, отсутствующим в дей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ствующей лицензии медицинской организации;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завершившимися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после прекращения действия лицензии медицинской организации;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1.8.3.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предоставление на оплату реестров счетов в случае нарушен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1.9.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Нарушения, связанные с повторным включением в реестр счетов случаев оказания медицинской помощи,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дублирование случаев оказания медицинской помощи в одном реестре;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стоимость медицинской услуги включена в норматив финансового обеспече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медицинской помо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1030"/>
        </w:trPr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1.10.6.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>
          <w:trHeight w:val="257"/>
        </w:trPr>
        <w:tc>
          <w:tcPr>
            <w:gridSpan w:val="4"/>
            <w:tcW w:w="9923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Раздел 2. Нарушения, выявляемые при проведении медико-экономической экспертизы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сроков ожидания медицинской помощи, установленных территориальной программой обязательного медицинского страхования.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доезда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бригады скорой медицинской помощи, при летальном исходе до приезда бригады скорой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2.7.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Представление в реестрах счетов пов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на оплату медицинской помощи другой услуги, также предъявленной к оплате медицинской организацией).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2.8.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ционара, а также консультаций в других медицинских организациях при экстренных и неотложных состояниях).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2.9.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Взимание платы с застр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2.10.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vertAlign w:val="superscript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и (или) медицинских изделий, включенных в перечень медицинских изделий, имплантируемых в организм человека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на основе клинических рекомендаций, с учетом стандартов медицинской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 реестре счетов сведений о страховом случае с летальным исходом при наличии сведений о смерти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страхования, или территориального фонда обязательного 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едицинского страхования, или страховой медицинской организации, или специалиста-эксперта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, эксперта качества медицинской помощи, действующего по их поручению.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йской Федерации случаях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Наличие признаков искажения сведений, представленных в медицинской документации (дописки, исправления, «вклейки», полное переоформление с искажением сведений о 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веденных диагностических и лечебных мероприятиях, клинической картине заболевания; расхождение сведений об оказании медицинской помощи в различных разделах медицинской документации и /или учетно-отчетной документации, запрошенной на проведение экспертизы).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Несоответствие данных медицинской документации данным реестра счетов,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2.16.3.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Некорректное (неполное) отражение в реестре счета сведений медицинской документации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2.17.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жизненно необходимых и важнейших лекарственных препаратов.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2.18.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gridSpan w:val="4"/>
            <w:tcW w:w="9923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highlight w:val="white"/>
              </w:rPr>
              <w:t xml:space="preserve">Раздел 3. Нарушения, выявляемые при проведении экспертизы качества медицинской помощи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shd w:val="clear" w:color="auto" w:fill="auto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применению методов профилактики, диагностики, лечения и реабилитации, данных медицинскими работниками национальных медицинских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центров в ходе консультаций/консилиумов с применением телемедицинских технологий: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 повлиявшее на состояние здоровья застрахованного лица;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 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инвалидизации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 (в том числе при наличии расхождений клинического и патологоанатомического диагнозов);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Невыполнение, несво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помощи, в том числе по результатам проведенного диспансерного наблюдения,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ьтаций/консилиумов 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применением телемедицинских технологий: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 повлиявшее на состояние здоровья застрахованного лица;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 к ухудшению состояния здоровья застрахованного лица, либо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0,4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инвалидизации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приведшее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рекомендаций медицинских работников национальных медицинских иссл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телемедицинских технологий, при необоснованном невыполнении данных рекомендаций;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3.2.6.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 результатам проведенного диспансерного наблюдения.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Выполнение непоказанных, неоправданных с клинической точки зрения, не регламентированных порядками оказания медицинской по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3.4.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Преждевре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 в установленных законодательством Российской Федерации случаях).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3.5.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 при отсутствии положительной динамики в состоянии здоровья потр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3.6.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Нарушение по вине медицинской организации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0,8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3.7.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ереводом в течение суток в профильные медицинские организации (структурные подразделения медицинских организаций).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3.8.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Госпитализаци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3.9.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Необоснованное повторное посещение врача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 выдачей справок и иных медицинских документов.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3.10.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Наличие расхождений клинического и патологоанатомического диагнозов 2-3 категории, обусловленное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непроведением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необходимых диагностических исследований (за исключением оказания медицинской помощи в экстренной форме).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0,9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вести оценку качества оказанной медицинской помощи.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3.13.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Необоснованное назначение лекарственных препаратов; одновременное назначение лекарственных препаратов со схожим фармакологичес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0,5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0,6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отсутствием последующего ухудшения состояния здоровья;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последующим ухудшением состояния здоровья;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3.14.3.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W w:w="830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Непроведение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юченного в группу диспансерного наблюдения,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соответствием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с порядком и периодичностью проведения диспансерного наблюдения и перечнем включаемых в указанный порядок исследований, в том числе: 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3.15.1.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отсутствием последующего ухудшения состояния здоро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вья;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3.15.2.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161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3.15.3.</w:t>
            </w:r>
            <w:r>
              <w:rPr>
                <w:highlight w:val="white"/>
              </w:rPr>
            </w:r>
            <w:r/>
          </w:p>
        </w:tc>
        <w:tc>
          <w:tcPr>
            <w:tcW w:w="5046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приведший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1559" w:type="dxa"/>
            <w:textDirection w:val="lrTb"/>
            <w:noWrap w:val="false"/>
          </w:tcPr>
          <w:p>
            <w:pPr>
              <w:ind w:firstLine="7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highlight w:val="white"/>
              </w:rPr>
            </w:r>
            <w:r/>
          </w:p>
        </w:tc>
      </w:tr>
    </w:tbl>
    <w:p>
      <w:pPr>
        <w:ind w:firstLine="708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Распоряжение Правительства Российской Федерации от 12 октября 2019 г. № 2406-р (Собрание законодательства Российской Федерации, 2019, № 42, ст. 5979; 2020, № 48, ст. 7813).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Распоряжение Правительства Российской Федерации 31 декабря 2018 г. № 3053-р (Соб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рание законодательства Российской Федерации, 2019, № 2, ст. 196; № 41, ст. 5780).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4"/>
          <w:szCs w:val="24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4"/>
          <w:highlight w:val="white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В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 соответствии со статьей 20 Федерального закона от 21 ноября 2011 г. № 323-ФЗ «Об основах охраны здоровья граждан в Российской Федерации» (Собрание законодательства Россий</w:t>
      </w:r>
      <w:r>
        <w:rPr>
          <w:rFonts w:ascii="Times New Roman" w:hAnsi="Times New Roman" w:cs="Times New Roman" w:eastAsia="Times New Roman"/>
          <w:sz w:val="24"/>
          <w:szCs w:val="24"/>
          <w:highlight w:val="white"/>
        </w:rPr>
        <w:t xml:space="preserve">ской Федерации, 2011, № 48, ст. 6724; 2020, № 29, ст. 4516).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Размеры санкций по проводимым в 2023 году экспертизам  медицинской помощи, оказанной медицинскими организациями в 2022 году, определяются в соответствии с Перечнем оснований для частичной или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лной неоплаты медицинской помощи и применения штрафных санкций по результатам медико-экономического контроля, медико-экономической экспертизы и экспертизы качества медицинской помощи в системе обязательного медицинского страхования Липецкой области, утверж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денным Тарифным соглашением на 2022 год.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6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5.Заключительные положения</w:t>
      </w:r>
      <w:r>
        <w:rPr>
          <w:highlight w:val="white"/>
        </w:rPr>
      </w:r>
      <w:r/>
    </w:p>
    <w:p>
      <w:pPr>
        <w:ind w:left="360"/>
        <w:jc w:val="center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5.1. Настоящее Тарифное соглашение вступает в силу с 01 января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года, действует до 31 декабря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года включительно и распространяется на правоотношения, связанные с оплатой  медици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нской помощи, оказанной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течение 2023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года.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5.2. Тарифное соглашение может быть изменено или дополнено по соглашению всех Сторон. Внесение изменений в Тарифное соглашение осуществляется путем заключения дополнительного соглашения к Тарифному соглашению, 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оторое является его неотъемлемой частью.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5.3. Стороны принимают на себя обязательства выполнять настоящее Тарифное соглашение.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5.4. В случае возникновения споров по настоящему Тарифному соглашению Стороны принимают все меры для их разрешения путем переговоров между собой.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5.5. Настоящее Тарифное соглашение составлено в пяти экземплярах, имеющих равную юридическую силу, по одному э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кземпляру для каждой Стороны.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5.6. ТФОМС Липецкой области доводит настоящее Тарифное соглашение до сведения всех участников системы обязательного медицинского страхования Липецкой области путем размещения на собственном сайте в сети «Интернет».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bookmarkStart w:id="3" w:name="_GoBack"/>
      <w:r>
        <w:rPr>
          <w:highlight w:val="white"/>
        </w:rPr>
      </w:r>
      <w:bookmarkEnd w:id="3"/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lef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Перечень приложений к</w:t>
      </w:r>
      <w:r>
        <w:rPr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Тарифному соглашению.</w:t>
      </w:r>
      <w:r>
        <w:rPr>
          <w:b/>
        </w:rPr>
      </w:r>
      <w:r/>
    </w:p>
    <w:p>
      <w:pPr>
        <w:jc w:val="left"/>
        <w:rPr>
          <w:rFonts w:ascii="Times New Roman" w:hAnsi="Times New Roman" w:cs="Times New Roman"/>
          <w:b w:val="0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имеющих прикрепившихся лиц, оплата амбулаторной мед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ицинской помощи в которых осуществляется 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тестирования на выявление новой коронавирусной инфекци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(COVID-19),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иных медицинских организациях и оплачиваемую за единицу объема медицинской помощи в разрезе групп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не имеющих прикрепившихся лиц, оплата амбулаторной медицинской помощи в которых осуществляется за единицу объема медицинской помощи - за медицинскую услугу,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посещение, за обращение (законченный случай), за УЕТ в разрезе уровней оказания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3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фельдшерских пунктов, фельдшерско-акушерских пунктов с указанием диапазона численнос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ти обслуживаемого населения, годового размера финансового обеспечения, а также информации о соответствии/несоответствии ФП, ФАП требованиям, установленным положением об организации оказания первичной медико-санитарной помощи взрослому населению на 2023 год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4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круглосуточных стационаров медицинских организаций (структурных подразделений медицинских организаций) в разрезе уровней оказания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5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организаций, оказывающих медицинскую помощь в дневных стационарах в разрезе уровней оказания медицинской помощи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6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медицинских организаций (структурных подразделений медицинских организаций), оказывающих скорую медицинскую помощь в разрезе групп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7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Коэффициенты, применяемые при расчете подушевых нормативов, а так же фактические дифференцированные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организаций, применяемые при оплате амбулат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орной медицинской помощи в 2023».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8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Классификатор основных медицинских услуг по оказанию первичной медико-санитарной специализированной стоматологической помощи, оказанной в амбулаторных условиях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9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отдельные медицинские услуги, применяемые при оплате амбулаторной медицинской помощи, в том числе для проведения межучрежденческих расчетов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10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услуги, финансирование которых осуществляется в соответствии с нормативами финансовых затрат на единицу объема медицинской помощи, установленными Территориальной программой ОМС из средств, не входящих в расчет подушевых нормативов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11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по проведению диспансеризации определенных гру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ослого населения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12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по проведению углубленной диспансеризации определенных гру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пп взр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ослого населения гражданам, переболевшим новой коронавирусной инфекцией (COVID-19)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13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 медицинские услуги по проведению диспансеризации пребывающих в стационарных учреждениях детей-сирот и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14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 по проведению диспансеризации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том числе усыновленных (удочеренных), принятых под опеку (попечительство), в приемную или патронатную семью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15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медицинские услуги по проведению профилактических медицинских осмотров несовершеннолетним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16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 медицинские услуги по проведению профилактических медицинских осмотров взрослого населения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17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Тарифы на  медицинские услуги, оказываемые в центрах здоровья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18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клинико-статистических групп заболеваний, применяемых в стационарных условиях с указанием коэффициентов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затратоемкости КСГ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19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клинико-статистических групп заболеваний, применяемых в условиях дневного стационара с указанием коэффициентов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относительной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затратоемкости КСГ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20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Коэффициенты, применяемые при расчете подушевых нормативов, а так же фактические дифференцированные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подушевые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нормативы финансирования в разрезе медицинских организаций, применяемые при оплате скорой медицинской помощи в 2023 году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приложение № 21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Порядок расчета значений показателей результативности деятельности медицинских организаций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sectPr>
      <w:footerReference w:type="default" r:id="rId9"/>
      <w:footnotePr>
        <w:pos w:val="beneathText"/>
      </w:footnotePr>
      <w:endnotePr/>
      <w:type w:val="nextPage"/>
      <w:pgSz w:w="11905" w:h="16837" w:orient="portrait"/>
      <w:pgMar w:top="851" w:right="851" w:bottom="851" w:left="1134" w:header="0" w:footer="2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803050406030204"/>
  </w:font>
  <w:font w:name="arimo">
    <w:panose1 w:val="02000603000000000000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Georgia">
    <w:panose1 w:val="02040502050405020303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rFonts w:ascii="Times New Roman" w:hAnsi="Times New Roman" w:cs="Times New Roman" w:eastAsia="Times New Roman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cs="Times New Roman" w:eastAsia="Times New Roman"/>
        <w:color w:val="000000"/>
      </w:rPr>
      <w:fldChar w:fldCharType="begin"/>
    </w:r>
    <w:r>
      <w:rPr>
        <w:rFonts w:ascii="Times New Roman" w:hAnsi="Times New Roman" w:cs="Times New Roman" w:eastAsia="Times New Roman"/>
        <w:color w:val="000000"/>
      </w:rPr>
      <w:instrText xml:space="preserve">PAGE</w:instrText>
    </w:r>
    <w:r>
      <w:rPr>
        <w:rFonts w:ascii="Times New Roman" w:hAnsi="Times New Roman" w:cs="Times New Roman" w:eastAsia="Times New Roman"/>
        <w:color w:val="000000"/>
      </w:rPr>
      <w:fldChar w:fldCharType="separate"/>
    </w:r>
    <w:r>
      <w:rPr>
        <w:rFonts w:ascii="Times New Roman" w:hAnsi="Times New Roman" w:cs="Times New Roman" w:eastAsia="Times New Roman"/>
        <w:color w:val="000000"/>
      </w:rPr>
      <w:t xml:space="preserve">155</w:t>
    </w:r>
    <w:r>
      <w:rPr>
        <w:rFonts w:ascii="Times New Roman" w:hAnsi="Times New Roman" w:cs="Times New Roman" w:eastAsia="Times New Roman"/>
        <w:color w:val="000000"/>
      </w:rPr>
      <w:fldChar w:fldCharType="end"/>
    </w:r>
    <w:r/>
  </w:p>
  <w:p>
    <w:pPr>
      <w:rPr>
        <w:rFonts w:ascii="Times New Roman" w:hAnsi="Times New Roman" w:cs="Times New Roman" w:eastAsia="Times New Roman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cs="Times New Roman" w:eastAsia="Times New Roman"/>
        <w:color w:val="000000"/>
      </w:rPr>
    </w:r>
    <w:r/>
  </w:p>
  <w:p>
    <w:pPr>
      <w:rPr>
        <w:rFonts w:ascii="Times New Roman" w:hAnsi="Times New Roman" w:cs="Times New Roman" w:eastAsia="Times New Roman"/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Times New Roman" w:hAnsi="Times New Roman" w:cs="Times New Roman" w:eastAsia="Times New Roman"/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698" w:hanging="989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2" w:hanging="185"/>
      </w:pPr>
      <w:rPr>
        <w:rFonts w:ascii="Times New Roman" w:hAnsi="Times New Roman" w:cs="Times New Roman" w:eastAsia="Times New Roman"/>
        <w:sz w:val="28"/>
        <w:szCs w:val="28"/>
        <w:vertAlign w:val="baseline"/>
      </w:rPr>
    </w:lvl>
    <w:lvl w:ilvl="1">
      <w:start w:val="1"/>
      <w:numFmt w:val="bullet"/>
      <w:isLgl w:val="false"/>
      <w:suff w:val="tab"/>
      <w:lvlText w:val="•"/>
      <w:lvlJc w:val="left"/>
      <w:pPr>
        <w:ind w:left="1552" w:hanging="185"/>
      </w:pPr>
      <w:rPr>
        <w:vertAlign w:val="baseline"/>
      </w:rPr>
    </w:lvl>
    <w:lvl w:ilvl="2">
      <w:start w:val="1"/>
      <w:numFmt w:val="bullet"/>
      <w:isLgl w:val="false"/>
      <w:suff w:val="tab"/>
      <w:lvlText w:val="•"/>
      <w:lvlJc w:val="left"/>
      <w:pPr>
        <w:ind w:left="2545" w:hanging="185"/>
      </w:pPr>
      <w:rPr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3537" w:hanging="185"/>
      </w:pPr>
      <w:rPr>
        <w:vertAlign w:val="baseline"/>
      </w:rPr>
    </w:lvl>
    <w:lvl w:ilvl="4">
      <w:start w:val="1"/>
      <w:numFmt w:val="bullet"/>
      <w:isLgl w:val="false"/>
      <w:suff w:val="tab"/>
      <w:lvlText w:val="•"/>
      <w:lvlJc w:val="left"/>
      <w:pPr>
        <w:ind w:left="4530" w:hanging="185"/>
      </w:pPr>
      <w:rPr>
        <w:vertAlign w:val="baseline"/>
      </w:rPr>
    </w:lvl>
    <w:lvl w:ilvl="5">
      <w:start w:val="1"/>
      <w:numFmt w:val="bullet"/>
      <w:isLgl w:val="false"/>
      <w:suff w:val="tab"/>
      <w:lvlText w:val="•"/>
      <w:lvlJc w:val="left"/>
      <w:pPr>
        <w:ind w:left="5523" w:hanging="185"/>
      </w:pPr>
      <w:rPr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6515" w:hanging="185"/>
      </w:pPr>
      <w:rPr>
        <w:vertAlign w:val="baseline"/>
      </w:rPr>
    </w:lvl>
    <w:lvl w:ilvl="7">
      <w:start w:val="1"/>
      <w:numFmt w:val="bullet"/>
      <w:isLgl w:val="false"/>
      <w:suff w:val="tab"/>
      <w:lvlText w:val="•"/>
      <w:lvlJc w:val="left"/>
      <w:pPr>
        <w:ind w:left="7508" w:hanging="185"/>
      </w:pPr>
      <w:rPr>
        <w:vertAlign w:val="baseline"/>
      </w:rPr>
    </w:lvl>
    <w:lvl w:ilvl="8">
      <w:start w:val="1"/>
      <w:numFmt w:val="bullet"/>
      <w:isLgl w:val="false"/>
      <w:suff w:val="tab"/>
      <w:lvlText w:val="•"/>
      <w:lvlJc w:val="left"/>
      <w:pPr>
        <w:ind w:left="8501" w:hanging="185"/>
      </w:pPr>
      <w:rPr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8"/>
  </w:num>
  <w:num w:numId="7">
    <w:abstractNumId w:val="12"/>
  </w:num>
  <w:num w:numId="8">
    <w:abstractNumId w:val="23"/>
  </w:num>
  <w:num w:numId="9">
    <w:abstractNumId w:val="19"/>
  </w:num>
  <w:num w:numId="10">
    <w:abstractNumId w:val="2"/>
  </w:num>
  <w:num w:numId="11">
    <w:abstractNumId w:val="6"/>
  </w:num>
  <w:num w:numId="12">
    <w:abstractNumId w:val="13"/>
  </w:num>
  <w:num w:numId="13">
    <w:abstractNumId w:val="4"/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22"/>
  </w:num>
  <w:num w:numId="19">
    <w:abstractNumId w:val="0"/>
  </w:num>
  <w:num w:numId="20">
    <w:abstractNumId w:val="9"/>
  </w:num>
  <w:num w:numId="21">
    <w:abstractNumId w:val="7"/>
  </w:num>
  <w:num w:numId="22">
    <w:abstractNumId w:val="21"/>
  </w:num>
  <w:num w:numId="23">
    <w:abstractNumId w:val="20"/>
  </w:num>
  <w:num w:numId="24">
    <w:abstractNumId w:val="5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beneathText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 w:default="1">
    <w:name w:val="Normal"/>
  </w:style>
  <w:style w:type="paragraph" w:styleId="751">
    <w:name w:val="Heading 1"/>
    <w:basedOn w:val="750"/>
    <w:next w:val="750"/>
    <w:link w:val="798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752">
    <w:name w:val="Heading 2"/>
    <w:basedOn w:val="750"/>
    <w:next w:val="750"/>
    <w:link w:val="799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753">
    <w:name w:val="Heading 3"/>
    <w:basedOn w:val="750"/>
    <w:next w:val="750"/>
    <w:link w:val="80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54">
    <w:name w:val="Heading 4"/>
    <w:basedOn w:val="750"/>
    <w:next w:val="750"/>
    <w:link w:val="801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755">
    <w:name w:val="Heading 5"/>
    <w:basedOn w:val="750"/>
    <w:next w:val="750"/>
    <w:link w:val="802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56">
    <w:name w:val="Heading 6"/>
    <w:basedOn w:val="750"/>
    <w:next w:val="750"/>
    <w:link w:val="803"/>
    <w:pPr>
      <w:keepLines/>
      <w:keepNext/>
      <w:spacing w:before="200" w:after="40"/>
      <w:outlineLvl w:val="5"/>
    </w:pPr>
    <w:rPr>
      <w:b/>
    </w:rPr>
  </w:style>
  <w:style w:type="paragraph" w:styleId="757">
    <w:name w:val="Heading 7"/>
    <w:basedOn w:val="750"/>
    <w:next w:val="750"/>
    <w:link w:val="8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58">
    <w:name w:val="Heading 8"/>
    <w:basedOn w:val="750"/>
    <w:next w:val="750"/>
    <w:link w:val="8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59">
    <w:name w:val="Heading 9"/>
    <w:basedOn w:val="750"/>
    <w:next w:val="750"/>
    <w:link w:val="8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Heading 1 Char"/>
    <w:basedOn w:val="760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Heading 2 Char"/>
    <w:basedOn w:val="760"/>
    <w:uiPriority w:val="9"/>
    <w:rPr>
      <w:rFonts w:ascii="Arial" w:hAnsi="Arial" w:cs="Arial" w:eastAsia="Arial"/>
      <w:sz w:val="34"/>
    </w:rPr>
  </w:style>
  <w:style w:type="character" w:styleId="765" w:customStyle="1">
    <w:name w:val="Heading 3 Char"/>
    <w:basedOn w:val="760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Heading 4 Char"/>
    <w:basedOn w:val="760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Heading 5 Char"/>
    <w:basedOn w:val="760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Heading 6 Char"/>
    <w:basedOn w:val="760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Heading 7 Char"/>
    <w:basedOn w:val="7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Heading 8 Char"/>
    <w:basedOn w:val="760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Heading 9 Char"/>
    <w:basedOn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72" w:customStyle="1">
    <w:name w:val="Title Char"/>
    <w:basedOn w:val="760"/>
    <w:uiPriority w:val="10"/>
    <w:rPr>
      <w:sz w:val="48"/>
      <w:szCs w:val="48"/>
    </w:rPr>
  </w:style>
  <w:style w:type="character" w:styleId="773" w:customStyle="1">
    <w:name w:val="Subtitle Char"/>
    <w:basedOn w:val="760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Header Char"/>
    <w:basedOn w:val="760"/>
    <w:uiPriority w:val="99"/>
  </w:style>
  <w:style w:type="character" w:styleId="777" w:customStyle="1">
    <w:name w:val="Caption Char"/>
    <w:uiPriority w:val="99"/>
  </w:style>
  <w:style w:type="table" w:styleId="778" w:customStyle="1">
    <w:name w:val="Plain Table 1"/>
    <w:basedOn w:val="76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2"/>
    <w:basedOn w:val="76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Plain Table 3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Plain Table 4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Plain Table 5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1 Light"/>
    <w:basedOn w:val="76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4"/>
    <w:basedOn w:val="76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5 Dark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6 Colorful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7 Colorful"/>
    <w:basedOn w:val="76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1 Light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2"/>
    <w:basedOn w:val="76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2" w:customStyle="1">
    <w:name w:val="List Table 3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6 Colorful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7 Colorful"/>
    <w:basedOn w:val="76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797" w:customStyle="1">
    <w:name w:val="Endnote Text Char"/>
    <w:uiPriority w:val="99"/>
    <w:rPr>
      <w:sz w:val="20"/>
    </w:rPr>
  </w:style>
  <w:style w:type="character" w:styleId="798" w:customStyle="1">
    <w:name w:val="Заголовок 1 Знак"/>
    <w:basedOn w:val="760"/>
    <w:link w:val="751"/>
    <w:uiPriority w:val="9"/>
    <w:rPr>
      <w:rFonts w:ascii="Arial" w:hAnsi="Arial" w:cs="Arial" w:eastAsia="Arial"/>
      <w:sz w:val="40"/>
      <w:szCs w:val="40"/>
    </w:rPr>
  </w:style>
  <w:style w:type="character" w:styleId="799" w:customStyle="1">
    <w:name w:val="Заголовок 2 Знак"/>
    <w:basedOn w:val="760"/>
    <w:link w:val="752"/>
    <w:uiPriority w:val="9"/>
    <w:rPr>
      <w:rFonts w:ascii="Arial" w:hAnsi="Arial" w:cs="Arial" w:eastAsia="Arial"/>
      <w:sz w:val="34"/>
    </w:rPr>
  </w:style>
  <w:style w:type="character" w:styleId="800" w:customStyle="1">
    <w:name w:val="Заголовок 3 Знак"/>
    <w:basedOn w:val="760"/>
    <w:link w:val="753"/>
    <w:uiPriority w:val="9"/>
    <w:rPr>
      <w:rFonts w:ascii="Arial" w:hAnsi="Arial" w:cs="Arial" w:eastAsia="Arial"/>
      <w:sz w:val="30"/>
      <w:szCs w:val="30"/>
    </w:rPr>
  </w:style>
  <w:style w:type="character" w:styleId="801" w:customStyle="1">
    <w:name w:val="Заголовок 4 Знак"/>
    <w:basedOn w:val="760"/>
    <w:link w:val="754"/>
    <w:uiPriority w:val="9"/>
    <w:rPr>
      <w:rFonts w:ascii="Arial" w:hAnsi="Arial" w:cs="Arial" w:eastAsia="Arial"/>
      <w:b/>
      <w:bCs/>
      <w:sz w:val="26"/>
      <w:szCs w:val="26"/>
    </w:rPr>
  </w:style>
  <w:style w:type="character" w:styleId="802" w:customStyle="1">
    <w:name w:val="Заголовок 5 Знак"/>
    <w:basedOn w:val="760"/>
    <w:link w:val="755"/>
    <w:uiPriority w:val="9"/>
    <w:rPr>
      <w:rFonts w:ascii="Arial" w:hAnsi="Arial" w:cs="Arial" w:eastAsia="Arial"/>
      <w:b/>
      <w:bCs/>
      <w:sz w:val="24"/>
      <w:szCs w:val="24"/>
    </w:rPr>
  </w:style>
  <w:style w:type="character" w:styleId="803" w:customStyle="1">
    <w:name w:val="Заголовок 6 Знак"/>
    <w:basedOn w:val="760"/>
    <w:link w:val="756"/>
    <w:uiPriority w:val="9"/>
    <w:rPr>
      <w:rFonts w:ascii="Arial" w:hAnsi="Arial" w:cs="Arial" w:eastAsia="Arial"/>
      <w:b/>
      <w:bCs/>
      <w:sz w:val="22"/>
      <w:szCs w:val="22"/>
    </w:rPr>
  </w:style>
  <w:style w:type="character" w:styleId="804" w:customStyle="1">
    <w:name w:val="Заголовок 7 Знак"/>
    <w:basedOn w:val="760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5" w:customStyle="1">
    <w:name w:val="Заголовок 8 Знак"/>
    <w:basedOn w:val="760"/>
    <w:link w:val="758"/>
    <w:uiPriority w:val="9"/>
    <w:rPr>
      <w:rFonts w:ascii="Arial" w:hAnsi="Arial" w:cs="Arial" w:eastAsia="Arial"/>
      <w:i/>
      <w:iCs/>
      <w:sz w:val="22"/>
      <w:szCs w:val="22"/>
    </w:rPr>
  </w:style>
  <w:style w:type="character" w:styleId="806" w:customStyle="1">
    <w:name w:val="Заголовок 9 Знак"/>
    <w:basedOn w:val="760"/>
    <w:link w:val="759"/>
    <w:uiPriority w:val="9"/>
    <w:rPr>
      <w:rFonts w:ascii="Arial" w:hAnsi="Arial" w:cs="Arial" w:eastAsia="Arial"/>
      <w:i/>
      <w:iCs/>
      <w:sz w:val="21"/>
      <w:szCs w:val="21"/>
    </w:rPr>
  </w:style>
  <w:style w:type="paragraph" w:styleId="807">
    <w:name w:val="No Spacing"/>
    <w:uiPriority w:val="1"/>
    <w:qFormat/>
  </w:style>
  <w:style w:type="character" w:styleId="808" w:customStyle="1">
    <w:name w:val="Название Знак"/>
    <w:basedOn w:val="760"/>
    <w:link w:val="809"/>
    <w:uiPriority w:val="10"/>
    <w:rPr>
      <w:sz w:val="48"/>
      <w:szCs w:val="48"/>
    </w:rPr>
  </w:style>
  <w:style w:type="paragraph" w:styleId="809">
    <w:name w:val="Title"/>
    <w:basedOn w:val="750"/>
    <w:next w:val="750"/>
    <w:link w:val="808"/>
    <w:pPr>
      <w:keepLines/>
      <w:keepNext/>
      <w:spacing w:before="480" w:after="120"/>
    </w:pPr>
    <w:rPr>
      <w:b/>
      <w:sz w:val="72"/>
      <w:szCs w:val="72"/>
    </w:rPr>
  </w:style>
  <w:style w:type="character" w:styleId="810" w:customStyle="1">
    <w:name w:val="Подзаголовок Знак"/>
    <w:basedOn w:val="760"/>
    <w:link w:val="811"/>
    <w:uiPriority w:val="11"/>
    <w:rPr>
      <w:sz w:val="24"/>
      <w:szCs w:val="24"/>
    </w:rPr>
  </w:style>
  <w:style w:type="paragraph" w:styleId="811">
    <w:name w:val="Subtitle"/>
    <w:basedOn w:val="750"/>
    <w:next w:val="750"/>
    <w:link w:val="810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paragraph" w:styleId="812">
    <w:name w:val="Quote"/>
    <w:basedOn w:val="750"/>
    <w:next w:val="750"/>
    <w:link w:val="813"/>
    <w:uiPriority w:val="29"/>
    <w:qFormat/>
    <w:pPr>
      <w:ind w:left="720" w:right="720"/>
    </w:pPr>
    <w:rPr>
      <w:i/>
    </w:rPr>
  </w:style>
  <w:style w:type="character" w:styleId="813" w:customStyle="1">
    <w:name w:val="Цитата 2 Знак"/>
    <w:link w:val="812"/>
    <w:uiPriority w:val="29"/>
    <w:rPr>
      <w:i/>
    </w:rPr>
  </w:style>
  <w:style w:type="paragraph" w:styleId="814">
    <w:name w:val="Intense Quote"/>
    <w:basedOn w:val="750"/>
    <w:next w:val="750"/>
    <w:link w:val="8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5" w:customStyle="1">
    <w:name w:val="Выделенная цитата Знак"/>
    <w:link w:val="814"/>
    <w:uiPriority w:val="30"/>
    <w:rPr>
      <w:i/>
    </w:rPr>
  </w:style>
  <w:style w:type="paragraph" w:styleId="816">
    <w:name w:val="Header"/>
    <w:basedOn w:val="750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Верхний колонтитул Знак"/>
    <w:basedOn w:val="760"/>
    <w:link w:val="816"/>
    <w:uiPriority w:val="99"/>
  </w:style>
  <w:style w:type="paragraph" w:styleId="818">
    <w:name w:val="Footer"/>
    <w:basedOn w:val="750"/>
    <w:link w:val="8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9" w:customStyle="1">
    <w:name w:val="Нижний колонтитул Знак"/>
    <w:link w:val="818"/>
    <w:uiPriority w:val="99"/>
  </w:style>
  <w:style w:type="character" w:styleId="820" w:customStyle="1">
    <w:name w:val="Footer Char"/>
    <w:basedOn w:val="760"/>
    <w:uiPriority w:val="99"/>
  </w:style>
  <w:style w:type="paragraph" w:styleId="821">
    <w:name w:val="Caption"/>
    <w:basedOn w:val="750"/>
    <w:next w:val="7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822" w:customStyle="1">
    <w:name w:val="Table Grid Light"/>
    <w:basedOn w:val="76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а простая 11"/>
    <w:basedOn w:val="76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Таблица простая 21"/>
    <w:basedOn w:val="76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Таблица простая 3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Таблица простая 4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а простая 5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8" w:customStyle="1">
    <w:name w:val="Таблица-сетка 1 светлая1"/>
    <w:basedOn w:val="76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6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6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6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6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6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6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а-сетка 21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2 - Accent 1"/>
    <w:basedOn w:val="76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2 - Accent 2"/>
    <w:basedOn w:val="76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2 - Accent 3"/>
    <w:basedOn w:val="76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4"/>
    <w:basedOn w:val="76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5"/>
    <w:basedOn w:val="76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6"/>
    <w:basedOn w:val="76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Таблица-сетка 31"/>
    <w:basedOn w:val="76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3 - Accent 1"/>
    <w:basedOn w:val="76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3 - Accent 2"/>
    <w:basedOn w:val="76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3 - Accent 3"/>
    <w:basedOn w:val="76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4"/>
    <w:basedOn w:val="76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5"/>
    <w:basedOn w:val="761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6"/>
    <w:basedOn w:val="761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Таблица-сетка 41"/>
    <w:basedOn w:val="76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0" w:customStyle="1">
    <w:name w:val="Grid Table 4 - Accent 1"/>
    <w:basedOn w:val="76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51" w:customStyle="1">
    <w:name w:val="Grid Table 4 - Accent 2"/>
    <w:basedOn w:val="761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Grid Table 4 - Accent 3"/>
    <w:basedOn w:val="761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53" w:customStyle="1">
    <w:name w:val="Grid Table 4 - Accent 4"/>
    <w:basedOn w:val="761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Grid Table 4 - Accent 5"/>
    <w:basedOn w:val="761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55" w:customStyle="1">
    <w:name w:val="Grid Table 4 - Accent 6"/>
    <w:basedOn w:val="761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56" w:customStyle="1">
    <w:name w:val="Таблица-сетка 5 темная1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57" w:customStyle="1">
    <w:name w:val="Grid Table 5 Dark- Accent 1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8" w:customStyle="1">
    <w:name w:val="Grid Table 5 Dark - Accent 2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9" w:customStyle="1">
    <w:name w:val="Grid Table 5 Dark - Accent 3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4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5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6"/>
    <w:basedOn w:val="76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63" w:customStyle="1">
    <w:name w:val="Таблица-сетка 6 цветная1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6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61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61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61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а-сетка 7 цветная1"/>
    <w:basedOn w:val="76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Grid Table 7 Colorful - Accent 1"/>
    <w:basedOn w:val="76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Grid Table 7 Colorful - Accent 2"/>
    <w:basedOn w:val="761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Grid Table 7 Colorful - Accent 3"/>
    <w:basedOn w:val="761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Grid Table 7 Colorful - Accent 4"/>
    <w:basedOn w:val="761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5" w:customStyle="1">
    <w:name w:val="Grid Table 7 Colorful - Accent 5"/>
    <w:basedOn w:val="761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6" w:customStyle="1">
    <w:name w:val="Grid Table 7 Colorful - Accent 6"/>
    <w:basedOn w:val="761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7" w:customStyle="1">
    <w:name w:val="Список-таблица 1 светлая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1 Light - Accent 1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st Table 1 Light - Accent 2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List Table 1 Light - Accent 3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4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5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6"/>
    <w:basedOn w:val="76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Список-таблица 21"/>
    <w:basedOn w:val="76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5" w:customStyle="1">
    <w:name w:val="List Table 2 - Accent 1"/>
    <w:basedOn w:val="76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86" w:customStyle="1">
    <w:name w:val="List Table 2 - Accent 2"/>
    <w:basedOn w:val="76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87" w:customStyle="1">
    <w:name w:val="List Table 2 - Accent 3"/>
    <w:basedOn w:val="76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4"/>
    <w:basedOn w:val="76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5"/>
    <w:basedOn w:val="76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6"/>
    <w:basedOn w:val="76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91" w:customStyle="1">
    <w:name w:val="Список-таблица 31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6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6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6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6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Список-таблица 41"/>
    <w:basedOn w:val="76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6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61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61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61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61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61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Список-таблица 5 темная1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6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6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6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6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Список-таблица 6 цветная1"/>
    <w:basedOn w:val="76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3" w:customStyle="1">
    <w:name w:val="List Table 6 Colorful - Accent 1"/>
    <w:basedOn w:val="76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14" w:customStyle="1">
    <w:name w:val="List Table 6 Colorful - Accent 2"/>
    <w:basedOn w:val="761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15" w:customStyle="1">
    <w:name w:val="List Table 6 Colorful - Accent 3"/>
    <w:basedOn w:val="761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16" w:customStyle="1">
    <w:name w:val="List Table 6 Colorful - Accent 4"/>
    <w:basedOn w:val="761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17" w:customStyle="1">
    <w:name w:val="List Table 6 Colorful - Accent 5"/>
    <w:basedOn w:val="761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8" w:customStyle="1">
    <w:name w:val="List Table 6 Colorful - Accent 6"/>
    <w:basedOn w:val="761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9" w:customStyle="1">
    <w:name w:val="Список-таблица 7 цветная1"/>
    <w:basedOn w:val="76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 w:customStyle="1">
    <w:name w:val="List Table 7 Colorful - Accent 1"/>
    <w:basedOn w:val="76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 w:customStyle="1">
    <w:name w:val="List Table 7 Colorful - Accent 2"/>
    <w:basedOn w:val="761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st Table 7 Colorful - Accent 3"/>
    <w:basedOn w:val="761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3" w:customStyle="1">
    <w:name w:val="List Table 7 Colorful - Accent 4"/>
    <w:basedOn w:val="761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4" w:customStyle="1">
    <w:name w:val="List Table 7 Colorful - Accent 5"/>
    <w:basedOn w:val="761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5" w:customStyle="1">
    <w:name w:val="List Table 7 Colorful - Accent 6"/>
    <w:basedOn w:val="761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6" w:customStyle="1">
    <w:name w:val="Lined - Accent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7" w:customStyle="1">
    <w:name w:val="Lined - Accent 1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8" w:customStyle="1">
    <w:name w:val="Lined - Accent 2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9" w:customStyle="1">
    <w:name w:val="Lined - Accent 3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0" w:customStyle="1">
    <w:name w:val="Lined - Accent 4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1" w:customStyle="1">
    <w:name w:val="Lined - Accent 5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2" w:customStyle="1">
    <w:name w:val="Lined - Accent 6"/>
    <w:basedOn w:val="76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3" w:customStyle="1">
    <w:name w:val="Bordered &amp; Lined - Accent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4" w:customStyle="1">
    <w:name w:val="Bordered &amp; Lined - Accent 1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35" w:customStyle="1">
    <w:name w:val="Bordered &amp; Lined - Accent 2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36" w:customStyle="1">
    <w:name w:val="Bordered &amp; Lined - Accent 3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37" w:customStyle="1">
    <w:name w:val="Bordered &amp; Lined - Accent 4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8" w:customStyle="1">
    <w:name w:val="Bordered &amp; Lined - Accent 5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9" w:customStyle="1">
    <w:name w:val="Bordered &amp; Lined - Accent 6"/>
    <w:basedOn w:val="76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40" w:customStyle="1">
    <w:name w:val="Bordered"/>
    <w:basedOn w:val="761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1" w:customStyle="1">
    <w:name w:val="Bordered - Accent 1"/>
    <w:basedOn w:val="76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42" w:customStyle="1">
    <w:name w:val="Bordered - Accent 2"/>
    <w:basedOn w:val="761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43" w:customStyle="1">
    <w:name w:val="Bordered - Accent 3"/>
    <w:basedOn w:val="761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44" w:customStyle="1">
    <w:name w:val="Bordered - Accent 4"/>
    <w:basedOn w:val="761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45" w:customStyle="1">
    <w:name w:val="Bordered - Accent 5"/>
    <w:basedOn w:val="761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46" w:customStyle="1">
    <w:name w:val="Bordered - Accent 6"/>
    <w:basedOn w:val="761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47" w:customStyle="1">
    <w:name w:val="Footnote Text Char"/>
    <w:uiPriority w:val="99"/>
    <w:rPr>
      <w:sz w:val="18"/>
    </w:rPr>
  </w:style>
  <w:style w:type="paragraph" w:styleId="948">
    <w:name w:val="endnote text"/>
    <w:basedOn w:val="750"/>
    <w:link w:val="949"/>
    <w:uiPriority w:val="99"/>
    <w:semiHidden/>
    <w:unhideWhenUsed/>
  </w:style>
  <w:style w:type="character" w:styleId="949" w:customStyle="1">
    <w:name w:val="Текст концевой сноски Знак"/>
    <w:link w:val="948"/>
    <w:uiPriority w:val="99"/>
    <w:rPr>
      <w:sz w:val="20"/>
    </w:rPr>
  </w:style>
  <w:style w:type="character" w:styleId="950">
    <w:name w:val="endnote reference"/>
    <w:basedOn w:val="760"/>
    <w:uiPriority w:val="99"/>
    <w:semiHidden/>
    <w:unhideWhenUsed/>
    <w:rPr>
      <w:vertAlign w:val="superscript"/>
    </w:rPr>
  </w:style>
  <w:style w:type="paragraph" w:styleId="951">
    <w:name w:val="toc 1"/>
    <w:basedOn w:val="750"/>
    <w:next w:val="750"/>
    <w:uiPriority w:val="39"/>
    <w:unhideWhenUsed/>
    <w:pPr>
      <w:spacing w:after="57"/>
    </w:pPr>
  </w:style>
  <w:style w:type="paragraph" w:styleId="952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953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954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955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956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957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958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959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paragraph" w:styleId="961">
    <w:name w:val="table of figures"/>
    <w:basedOn w:val="750"/>
    <w:next w:val="750"/>
    <w:uiPriority w:val="99"/>
    <w:unhideWhenUsed/>
  </w:style>
  <w:style w:type="table" w:styleId="962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StGen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4" w:customStyle="1">
    <w:name w:val="StGen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5" w:customStyle="1">
    <w:name w:val="StGen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6" w:customStyle="1">
    <w:name w:val="StGen3"/>
    <w:basedOn w:val="962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67" w:customStyle="1">
    <w:name w:val="StGen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8" w:customStyle="1">
    <w:name w:val="StGen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69" w:customStyle="1">
    <w:name w:val="StGen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0" w:customStyle="1">
    <w:name w:val="StGen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1" w:customStyle="1">
    <w:name w:val="StGen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2" w:customStyle="1">
    <w:name w:val="StGen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3" w:customStyle="1">
    <w:name w:val="StGen1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4" w:customStyle="1">
    <w:name w:val="StGen1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5" w:customStyle="1">
    <w:name w:val="StGen1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6" w:customStyle="1">
    <w:name w:val="StGen1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7" w:customStyle="1">
    <w:name w:val="StGen1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8" w:customStyle="1">
    <w:name w:val="StGen1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79" w:customStyle="1">
    <w:name w:val="StGen1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0" w:customStyle="1">
    <w:name w:val="StGen1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1" w:customStyle="1">
    <w:name w:val="StGen1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2" w:customStyle="1">
    <w:name w:val="StGen1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3" w:customStyle="1">
    <w:name w:val="StGen20"/>
    <w:basedOn w:val="962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984" w:customStyle="1">
    <w:name w:val="StGen2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5" w:customStyle="1">
    <w:name w:val="StGen2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6" w:customStyle="1">
    <w:name w:val="StGen2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7" w:customStyle="1">
    <w:name w:val="StGen2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8" w:customStyle="1">
    <w:name w:val="StGen2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89" w:customStyle="1">
    <w:name w:val="StGen2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0" w:customStyle="1">
    <w:name w:val="StGen2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1" w:customStyle="1">
    <w:name w:val="StGen2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2" w:customStyle="1">
    <w:name w:val="StGen2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3" w:customStyle="1">
    <w:name w:val="StGen3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4" w:customStyle="1">
    <w:name w:val="StGen3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5" w:customStyle="1">
    <w:name w:val="StGen3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6" w:customStyle="1">
    <w:name w:val="StGen3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7" w:customStyle="1">
    <w:name w:val="StGen3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8" w:customStyle="1">
    <w:name w:val="StGen3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999" w:customStyle="1">
    <w:name w:val="StGen3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0" w:customStyle="1">
    <w:name w:val="StGen37"/>
    <w:basedOn w:val="962"/>
    <w:tblPr>
      <w:tblStyleRowBandSize w:val="1"/>
      <w:tblStyleColBandSize w:val="1"/>
      <w:tblCellMar>
        <w:left w:w="62" w:type="dxa"/>
        <w:top w:w="102" w:type="dxa"/>
        <w:right w:w="62" w:type="dxa"/>
        <w:bottom w:w="102" w:type="dxa"/>
      </w:tblCellMar>
    </w:tblPr>
  </w:style>
  <w:style w:type="table" w:styleId="1001" w:customStyle="1">
    <w:name w:val="StGen38"/>
    <w:basedOn w:val="962"/>
    <w:link w:val="110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2" w:customStyle="1">
    <w:name w:val="StGen3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3" w:customStyle="1">
    <w:name w:val="StGen4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4" w:customStyle="1">
    <w:name w:val="StGen4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5" w:customStyle="1">
    <w:name w:val="StGen4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6" w:customStyle="1">
    <w:name w:val="StGen4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7" w:customStyle="1">
    <w:name w:val="StGen4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8" w:customStyle="1">
    <w:name w:val="StGen4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09" w:customStyle="1">
    <w:name w:val="StGen4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0" w:customStyle="1">
    <w:name w:val="StGen4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1" w:customStyle="1">
    <w:name w:val="StGen4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2" w:customStyle="1">
    <w:name w:val="StGen4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3" w:customStyle="1">
    <w:name w:val="StGen5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4" w:customStyle="1">
    <w:name w:val="StGen5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5" w:customStyle="1">
    <w:name w:val="StGen5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6" w:customStyle="1">
    <w:name w:val="StGen5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7" w:customStyle="1">
    <w:name w:val="StGen5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8" w:customStyle="1">
    <w:name w:val="StGen5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19" w:customStyle="1">
    <w:name w:val="StGen5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0" w:customStyle="1">
    <w:name w:val="StGen5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1" w:customStyle="1">
    <w:name w:val="StGen5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2" w:customStyle="1">
    <w:name w:val="StGen5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3" w:customStyle="1">
    <w:name w:val="StGen6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4" w:customStyle="1">
    <w:name w:val="StGen6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5" w:customStyle="1">
    <w:name w:val="StGen62"/>
    <w:basedOn w:val="962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1026" w:customStyle="1">
    <w:name w:val="StGen6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7" w:customStyle="1">
    <w:name w:val="StGen6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8" w:customStyle="1">
    <w:name w:val="StGen65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29" w:customStyle="1">
    <w:name w:val="StGen66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0" w:customStyle="1">
    <w:name w:val="StGen67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1" w:customStyle="1">
    <w:name w:val="StGen68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2" w:customStyle="1">
    <w:name w:val="StGen69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3" w:customStyle="1">
    <w:name w:val="StGen70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4" w:customStyle="1">
    <w:name w:val="StGen71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5" w:customStyle="1">
    <w:name w:val="StGen72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6" w:customStyle="1">
    <w:name w:val="StGen73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1037" w:customStyle="1">
    <w:name w:val="StGen74"/>
    <w:basedOn w:val="962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paragraph" w:styleId="1038">
    <w:name w:val="Balloon Text"/>
    <w:basedOn w:val="750"/>
    <w:link w:val="1039"/>
    <w:uiPriority w:val="99"/>
    <w:semiHidden/>
    <w:unhideWhenUsed/>
    <w:rPr>
      <w:rFonts w:ascii="Tahoma" w:hAnsi="Tahoma" w:cs="Tahoma"/>
      <w:sz w:val="16"/>
      <w:szCs w:val="16"/>
    </w:rPr>
  </w:style>
  <w:style w:type="character" w:styleId="1039" w:customStyle="1">
    <w:name w:val="Текст выноски Знак"/>
    <w:basedOn w:val="760"/>
    <w:link w:val="1038"/>
    <w:uiPriority w:val="99"/>
    <w:semiHidden/>
    <w:rPr>
      <w:rFonts w:ascii="Tahoma" w:hAnsi="Tahoma" w:cs="Tahoma"/>
      <w:sz w:val="16"/>
      <w:szCs w:val="16"/>
    </w:rPr>
  </w:style>
  <w:style w:type="paragraph" w:styleId="1040">
    <w:name w:val="List Paragraph"/>
    <w:basedOn w:val="750"/>
    <w:uiPriority w:val="34"/>
    <w:qFormat/>
    <w:pPr>
      <w:contextualSpacing/>
      <w:ind w:left="720"/>
    </w:pPr>
  </w:style>
  <w:style w:type="paragraph" w:styleId="1041">
    <w:name w:val="footnote text"/>
    <w:basedOn w:val="750"/>
    <w:link w:val="1042"/>
    <w:uiPriority w:val="99"/>
    <w:semiHidden/>
    <w:unhideWhenUsed/>
  </w:style>
  <w:style w:type="character" w:styleId="1042" w:customStyle="1">
    <w:name w:val="Текст сноски Знак"/>
    <w:basedOn w:val="760"/>
    <w:link w:val="1041"/>
    <w:uiPriority w:val="99"/>
    <w:semiHidden/>
  </w:style>
  <w:style w:type="character" w:styleId="1043">
    <w:name w:val="footnote reference"/>
    <w:basedOn w:val="760"/>
    <w:uiPriority w:val="99"/>
    <w:semiHidden/>
    <w:unhideWhenUsed/>
    <w:rPr>
      <w:vertAlign w:val="superscript"/>
    </w:rPr>
  </w:style>
  <w:style w:type="paragraph" w:styleId="1044" w:customStyle="1">
    <w:name w:val="ConsPlusNormal"/>
    <w:pPr>
      <w:widowControl w:val="off"/>
    </w:pPr>
    <w:rPr>
      <w:rFonts w:eastAsia="Times New Roman"/>
      <w:sz w:val="22"/>
    </w:rPr>
  </w:style>
  <w:style w:type="paragraph" w:styleId="1045">
    <w:name w:val="Body Text"/>
    <w:basedOn w:val="750"/>
    <w:link w:val="1046"/>
    <w:uiPriority w:val="99"/>
    <w:pPr>
      <w:ind w:firstLine="720"/>
      <w:jc w:val="both"/>
      <w:spacing w:after="360" w:line="317" w:lineRule="exact"/>
      <w:shd w:val="clear" w:color="auto" w:fill="ffffff"/>
    </w:pPr>
    <w:rPr>
      <w:rFonts w:ascii="Times New Roman" w:hAnsi="Times New Roman" w:cs="Times New Roman" w:eastAsia="Arial Unicode MS"/>
      <w:sz w:val="24"/>
      <w:szCs w:val="24"/>
    </w:rPr>
  </w:style>
  <w:style w:type="character" w:styleId="1046" w:customStyle="1">
    <w:name w:val="Основной текст Знак"/>
    <w:basedOn w:val="760"/>
    <w:link w:val="1045"/>
    <w:uiPriority w:val="99"/>
    <w:rPr>
      <w:rFonts w:ascii="Times New Roman" w:hAnsi="Times New Roman" w:cs="Times New Roman" w:eastAsia="Arial Unicode MS"/>
      <w:sz w:val="24"/>
      <w:szCs w:val="24"/>
      <w:shd w:val="clear" w:color="auto" w:fill="ffffff"/>
    </w:rPr>
  </w:style>
  <w:style w:type="table" w:styleId="1047">
    <w:name w:val="Table Grid"/>
    <w:basedOn w:val="76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48" w:customStyle="1">
    <w:name w:val="ConsPlusTitle"/>
    <w:uiPriority w:val="99"/>
    <w:pPr>
      <w:widowControl w:val="off"/>
    </w:pPr>
    <w:rPr>
      <w:rFonts w:ascii="Arial" w:hAnsi="Arial" w:cs="Arial" w:eastAsiaTheme="minorEastAsia"/>
      <w:b/>
      <w:bCs/>
      <w:sz w:val="24"/>
      <w:szCs w:val="24"/>
    </w:rPr>
  </w:style>
  <w:style w:type="character" w:styleId="1049">
    <w:name w:val="Hyperlink"/>
    <w:basedOn w:val="760"/>
    <w:uiPriority w:val="99"/>
    <w:semiHidden/>
    <w:unhideWhenUsed/>
    <w:rPr>
      <w:color w:val="0000FF"/>
      <w:u w:val="single"/>
    </w:rPr>
  </w:style>
  <w:style w:type="character" w:styleId="1050">
    <w:name w:val="FollowedHyperlink"/>
    <w:basedOn w:val="760"/>
    <w:uiPriority w:val="99"/>
    <w:semiHidden/>
    <w:unhideWhenUsed/>
    <w:rPr>
      <w:color w:val="800080"/>
      <w:u w:val="single"/>
    </w:rPr>
  </w:style>
  <w:style w:type="paragraph" w:styleId="1051" w:customStyle="1">
    <w:name w:val="xl7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</w:rPr>
  </w:style>
  <w:style w:type="paragraph" w:styleId="1052" w:customStyle="1">
    <w:name w:val="xl75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3" w:customStyle="1">
    <w:name w:val="xl76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4" w:customStyle="1">
    <w:name w:val="xl77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55" w:customStyle="1">
    <w:name w:val="xl78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6" w:customStyle="1">
    <w:name w:val="xl79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7" w:customStyle="1">
    <w:name w:val="xl8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8" w:customStyle="1">
    <w:name w:val="xl81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59" w:customStyle="1">
    <w:name w:val="xl82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0" w:customStyle="1">
    <w:name w:val="xl83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1" w:customStyle="1">
    <w:name w:val="xl8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2" w:customStyle="1">
    <w:name w:val="xl85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63" w:customStyle="1">
    <w:name w:val="xl86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064" w:customStyle="1">
    <w:name w:val="xl87"/>
    <w:basedOn w:val="750"/>
    <w:pPr>
      <w:jc w:val="center"/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065" w:customStyle="1">
    <w:name w:val="xl89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000000"/>
      <w:sz w:val="18"/>
      <w:szCs w:val="18"/>
    </w:rPr>
  </w:style>
  <w:style w:type="paragraph" w:styleId="1066" w:customStyle="1">
    <w:name w:val="xl9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000000"/>
      <w:sz w:val="24"/>
      <w:szCs w:val="24"/>
    </w:rPr>
  </w:style>
  <w:style w:type="paragraph" w:styleId="1067" w:customStyle="1">
    <w:name w:val="xl91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68" w:customStyle="1">
    <w:name w:val="xl92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69" w:customStyle="1">
    <w:name w:val="xl93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0" w:customStyle="1">
    <w:name w:val="xl9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1" w:customStyle="1">
    <w:name w:val="xl95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2" w:customStyle="1">
    <w:name w:val="xl96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3" w:customStyle="1">
    <w:name w:val="xl97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4" w:customStyle="1">
    <w:name w:val="xl98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75" w:customStyle="1">
    <w:name w:val="xl99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76" w:customStyle="1">
    <w:name w:val="xl10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77" w:customStyle="1">
    <w:name w:val="xl101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78" w:customStyle="1">
    <w:name w:val="xl102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79" w:customStyle="1">
    <w:name w:val="xl103"/>
    <w:basedOn w:val="750"/>
    <w:pPr>
      <w:jc w:val="center"/>
      <w:spacing w:before="100" w:beforeAutospacing="1" w:after="100" w:afterAutospacing="1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color w:val="000000"/>
      <w:sz w:val="24"/>
      <w:szCs w:val="24"/>
    </w:rPr>
  </w:style>
  <w:style w:type="paragraph" w:styleId="1080" w:customStyle="1">
    <w:name w:val="xl104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81" w:customStyle="1">
    <w:name w:val="xl105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82" w:customStyle="1">
    <w:name w:val="xl106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83" w:customStyle="1">
    <w:name w:val="xl107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84" w:customStyle="1">
    <w:name w:val="xl108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85" w:customStyle="1">
    <w:name w:val="xl109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86" w:customStyle="1">
    <w:name w:val="xl110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87" w:customStyle="1">
    <w:name w:val="xl111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88" w:customStyle="1">
    <w:name w:val="xl112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89" w:customStyle="1">
    <w:name w:val="xl113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</w:rPr>
  </w:style>
  <w:style w:type="paragraph" w:styleId="1090" w:customStyle="1">
    <w:name w:val="xl88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table" w:styleId="1091" w:customStyle="1">
    <w:name w:val="Сетка таблицы211"/>
    <w:basedOn w:val="761"/>
    <w:next w:val="1047"/>
    <w:uiPriority w:val="59"/>
    <w:rPr>
      <w:rFonts w:cs="Times New Roman"/>
      <w:sz w:val="22"/>
      <w:szCs w:val="22"/>
      <w:lang w:val="en-US"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92" w:customStyle="1">
    <w:name w:val="xl65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93" w:customStyle="1">
    <w:name w:val="xl66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94" w:customStyle="1">
    <w:name w:val="xl67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95" w:customStyle="1">
    <w:name w:val="xl68"/>
    <w:basedOn w:val="750"/>
    <w:pPr>
      <w:jc w:val="center"/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</w:rPr>
  </w:style>
  <w:style w:type="paragraph" w:styleId="1096" w:customStyle="1">
    <w:name w:val="xl69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097" w:customStyle="1">
    <w:name w:val="xl70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u w:val="single"/>
    </w:rPr>
  </w:style>
  <w:style w:type="paragraph" w:styleId="1098" w:customStyle="1">
    <w:name w:val="xl71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099" w:customStyle="1">
    <w:name w:val="xl72"/>
    <w:basedOn w:val="750"/>
    <w:pPr>
      <w:spacing w:before="100" w:beforeAutospacing="1" w:after="100" w:afterAutospacing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</w:rPr>
  </w:style>
  <w:style w:type="paragraph" w:styleId="1100" w:customStyle="1">
    <w:name w:val="xl73"/>
    <w:basedOn w:val="750"/>
    <w:pPr>
      <w:spacing w:before="100" w:beforeAutospacing="1" w:after="100" w:afterAutospacing="1"/>
    </w:pPr>
    <w:rPr>
      <w:rFonts w:ascii="Times New Roman" w:hAnsi="Times New Roman" w:cs="Times New Roman" w:eastAsia="Times New Roman"/>
      <w:sz w:val="24"/>
      <w:szCs w:val="24"/>
    </w:rPr>
  </w:style>
  <w:style w:type="paragraph" w:styleId="1101" w:customStyle="1">
    <w:name w:val="Другое"/>
    <w:link w:val="1001"/>
    <w:pPr>
      <w:ind w:firstLine="400"/>
      <w:jc w:val="both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 w:eastAsia="Times New Roman"/>
      <w:sz w:val="28"/>
      <w:szCs w:val="2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jpg"/><Relationship Id="rId13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15" Type="http://schemas.openxmlformats.org/officeDocument/2006/relationships/hyperlink" Target="https://login.consultant.ru/link/?req=doc&amp;base=LAW&amp;n=436688&amp;date=24.01.2023&amp;dst=108949&amp;field=134" TargetMode="External"/><Relationship Id="rId16" Type="http://schemas.openxmlformats.org/officeDocument/2006/relationships/hyperlink" Target="https://login.consultant.ru/link/?req=doc&amp;base=LAW&amp;n=436688&amp;date=24.01.2023&amp;dst=108949&amp;field=134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4CEE6860-B7D2-401D-8A33-A5B4CAF1A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34646-4382-4EDB-8E2E-56EB560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Александр Николаевич</dc:creator>
  <cp:revision>22</cp:revision>
  <dcterms:created xsi:type="dcterms:W3CDTF">2023-01-22T12:05:00Z</dcterms:created>
  <dcterms:modified xsi:type="dcterms:W3CDTF">2023-01-31T11:30:41Z</dcterms:modified>
</cp:coreProperties>
</file>